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1ABED" w14:textId="77777777" w:rsidR="001F146F" w:rsidRDefault="001F146F" w:rsidP="00211343">
      <w:pPr>
        <w:jc w:val="both"/>
        <w:rPr>
          <w:rFonts w:ascii="Arial" w:hAnsi="Arial" w:cs="Arial"/>
          <w:b/>
          <w:color w:val="006600"/>
          <w:sz w:val="80"/>
          <w:szCs w:val="80"/>
        </w:rPr>
      </w:pPr>
      <w:bookmarkStart w:id="0" w:name="_Hlk38313553"/>
    </w:p>
    <w:p w14:paraId="6A220285" w14:textId="2C59B501" w:rsidR="00211343" w:rsidRDefault="00211343" w:rsidP="00211343">
      <w:pPr>
        <w:jc w:val="both"/>
        <w:rPr>
          <w:rFonts w:ascii="Arial" w:hAnsi="Arial" w:cs="Arial"/>
          <w:b/>
          <w:color w:val="006600"/>
          <w:sz w:val="80"/>
          <w:szCs w:val="80"/>
        </w:rPr>
      </w:pPr>
      <w:r w:rsidRPr="00211343">
        <w:rPr>
          <w:rFonts w:ascii="Arial" w:hAnsi="Arial" w:cs="Arial"/>
          <w:b/>
          <w:noProof/>
          <w:color w:val="006600"/>
          <w:sz w:val="80"/>
          <w:szCs w:val="80"/>
        </w:rPr>
        <w:drawing>
          <wp:anchor distT="0" distB="0" distL="114300" distR="114300" simplePos="0" relativeHeight="251658240" behindDoc="0" locked="0" layoutInCell="1" allowOverlap="1" wp14:anchorId="7A413B1F" wp14:editId="3A3C5408">
            <wp:simplePos x="457200" y="457200"/>
            <wp:positionH relativeFrom="margin">
              <wp:align>right</wp:align>
            </wp:positionH>
            <wp:positionV relativeFrom="margin">
              <wp:align>top</wp:align>
            </wp:positionV>
            <wp:extent cx="1897200" cy="763200"/>
            <wp:effectExtent l="0" t="0" r="825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7200" cy="763200"/>
                    </a:xfrm>
                    <a:prstGeom prst="rect">
                      <a:avLst/>
                    </a:prstGeom>
                    <a:noFill/>
                    <a:ln>
                      <a:noFill/>
                    </a:ln>
                  </pic:spPr>
                </pic:pic>
              </a:graphicData>
            </a:graphic>
          </wp:anchor>
        </w:drawing>
      </w:r>
    </w:p>
    <w:p w14:paraId="53C90B15" w14:textId="2BFE3BB6" w:rsidR="00211343" w:rsidRDefault="00211343" w:rsidP="00211343">
      <w:pPr>
        <w:rPr>
          <w:rFonts w:ascii="Arial" w:hAnsi="Arial" w:cs="Arial"/>
          <w:b/>
          <w:color w:val="006600"/>
          <w:sz w:val="80"/>
          <w:szCs w:val="80"/>
        </w:rPr>
      </w:pPr>
    </w:p>
    <w:p w14:paraId="3EB87D90" w14:textId="14A3D432" w:rsidR="00211343" w:rsidRDefault="00211343" w:rsidP="00211343">
      <w:pPr>
        <w:rPr>
          <w:rFonts w:ascii="Arial" w:hAnsi="Arial" w:cs="Arial"/>
          <w:b/>
          <w:color w:val="006600"/>
          <w:sz w:val="80"/>
          <w:szCs w:val="80"/>
        </w:rPr>
      </w:pPr>
      <w:r w:rsidRPr="00211343">
        <w:rPr>
          <w:rFonts w:ascii="Arial" w:hAnsi="Arial" w:cs="Arial"/>
          <w:b/>
          <w:noProof/>
          <w:color w:val="006600"/>
          <w:sz w:val="80"/>
          <w:szCs w:val="80"/>
        </w:rPr>
        <w:drawing>
          <wp:inline distT="0" distB="0" distL="0" distR="0" wp14:anchorId="3D533955" wp14:editId="2BFF9762">
            <wp:extent cx="6523622" cy="27241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4405" cy="2732829"/>
                    </a:xfrm>
                    <a:prstGeom prst="rect">
                      <a:avLst/>
                    </a:prstGeom>
                    <a:noFill/>
                    <a:ln>
                      <a:noFill/>
                    </a:ln>
                  </pic:spPr>
                </pic:pic>
              </a:graphicData>
            </a:graphic>
          </wp:inline>
        </w:drawing>
      </w:r>
    </w:p>
    <w:p w14:paraId="49060519" w14:textId="16DE2558" w:rsidR="00211343" w:rsidRDefault="00211343" w:rsidP="00211343">
      <w:pPr>
        <w:rPr>
          <w:rFonts w:ascii="Arial" w:hAnsi="Arial" w:cs="Arial"/>
          <w:b/>
          <w:color w:val="006600"/>
          <w:sz w:val="80"/>
          <w:szCs w:val="80"/>
        </w:rPr>
      </w:pPr>
      <w:r w:rsidRPr="00211343">
        <w:rPr>
          <w:rFonts w:ascii="Arial" w:hAnsi="Arial" w:cs="Arial"/>
          <w:b/>
          <w:noProof/>
          <w:color w:val="006600"/>
          <w:sz w:val="80"/>
          <w:szCs w:val="80"/>
        </w:rPr>
        <w:drawing>
          <wp:inline distT="0" distB="0" distL="0" distR="0" wp14:anchorId="634B600E" wp14:editId="1A901185">
            <wp:extent cx="6523355" cy="888897"/>
            <wp:effectExtent l="0" t="0" r="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90462" cy="911668"/>
                    </a:xfrm>
                    <a:prstGeom prst="rect">
                      <a:avLst/>
                    </a:prstGeom>
                    <a:noFill/>
                    <a:ln>
                      <a:noFill/>
                    </a:ln>
                  </pic:spPr>
                </pic:pic>
              </a:graphicData>
            </a:graphic>
          </wp:inline>
        </w:drawing>
      </w:r>
    </w:p>
    <w:p w14:paraId="1E235BAA" w14:textId="20D8BD93" w:rsidR="00211343" w:rsidRDefault="00211343" w:rsidP="00211343">
      <w:pPr>
        <w:rPr>
          <w:rFonts w:ascii="Arial" w:hAnsi="Arial" w:cs="Arial"/>
          <w:b/>
          <w:color w:val="006600"/>
          <w:sz w:val="80"/>
          <w:szCs w:val="80"/>
        </w:rPr>
      </w:pPr>
    </w:p>
    <w:p w14:paraId="4B0551DF" w14:textId="77777777" w:rsidR="00211343" w:rsidRDefault="00211343" w:rsidP="00211343">
      <w:pPr>
        <w:rPr>
          <w:rFonts w:ascii="Arial" w:hAnsi="Arial" w:cs="Arial"/>
          <w:b/>
          <w:color w:val="006600"/>
          <w:sz w:val="80"/>
          <w:szCs w:val="80"/>
        </w:rPr>
      </w:pPr>
    </w:p>
    <w:p w14:paraId="1AF136AC" w14:textId="77777777" w:rsidR="00211343" w:rsidRDefault="00211343" w:rsidP="00211343">
      <w:pPr>
        <w:rPr>
          <w:rFonts w:ascii="Arial" w:hAnsi="Arial" w:cs="Arial"/>
          <w:b/>
          <w:color w:val="006600"/>
          <w:sz w:val="80"/>
          <w:szCs w:val="80"/>
        </w:rPr>
      </w:pPr>
    </w:p>
    <w:p w14:paraId="62CB8183" w14:textId="2622AA6F" w:rsidR="00640212" w:rsidRPr="009F15A2" w:rsidRDefault="00640212" w:rsidP="00211343">
      <w:pPr>
        <w:rPr>
          <w:rFonts w:ascii="Arial" w:hAnsi="Arial" w:cs="Arial"/>
          <w:b/>
          <w:color w:val="006600"/>
          <w:sz w:val="80"/>
          <w:szCs w:val="80"/>
        </w:rPr>
      </w:pPr>
      <w:r>
        <w:rPr>
          <w:rFonts w:ascii="Arial" w:hAnsi="Arial" w:cs="Arial"/>
          <w:b/>
          <w:color w:val="006600"/>
          <w:sz w:val="80"/>
          <w:szCs w:val="80"/>
        </w:rPr>
        <w:t xml:space="preserve">Carbon </w:t>
      </w:r>
      <w:r w:rsidR="00864839">
        <w:rPr>
          <w:rFonts w:ascii="Arial" w:hAnsi="Arial" w:cs="Arial"/>
          <w:b/>
          <w:color w:val="006600"/>
          <w:sz w:val="80"/>
          <w:szCs w:val="80"/>
        </w:rPr>
        <w:t>Reduction</w:t>
      </w:r>
      <w:r>
        <w:rPr>
          <w:rFonts w:ascii="Arial" w:hAnsi="Arial" w:cs="Arial"/>
          <w:b/>
          <w:color w:val="006600"/>
          <w:sz w:val="80"/>
          <w:szCs w:val="80"/>
        </w:rPr>
        <w:t xml:space="preserve"> Pla</w:t>
      </w:r>
      <w:r w:rsidR="005059AE">
        <w:rPr>
          <w:rFonts w:ascii="Arial" w:hAnsi="Arial" w:cs="Arial"/>
          <w:b/>
          <w:color w:val="006600"/>
          <w:sz w:val="80"/>
          <w:szCs w:val="80"/>
        </w:rPr>
        <w:t>n 2020-2025</w:t>
      </w:r>
      <w:r w:rsidRPr="009F15A2">
        <w:rPr>
          <w:rFonts w:ascii="Arial" w:hAnsi="Arial" w:cs="Arial"/>
          <w:b/>
          <w:color w:val="006600"/>
          <w:sz w:val="80"/>
          <w:szCs w:val="80"/>
        </w:rPr>
        <w:t xml:space="preserve"> </w:t>
      </w:r>
    </w:p>
    <w:bookmarkEnd w:id="0"/>
    <w:p w14:paraId="6F2AB6C5" w14:textId="50F77155" w:rsidR="004F1E83" w:rsidRDefault="004F1E83">
      <w:pPr>
        <w:rPr>
          <w:b/>
        </w:rPr>
      </w:pPr>
    </w:p>
    <w:p w14:paraId="142755D6" w14:textId="77777777" w:rsidR="00211343" w:rsidRDefault="00211343">
      <w:pPr>
        <w:rPr>
          <w:b/>
        </w:rPr>
      </w:pPr>
      <w:r>
        <w:rPr>
          <w:b/>
        </w:rPr>
        <w:br w:type="page"/>
      </w:r>
    </w:p>
    <w:p w14:paraId="5A6AD576" w14:textId="23EB479F" w:rsidR="00CB6346" w:rsidRPr="007F4668" w:rsidRDefault="0065197C" w:rsidP="007F4668">
      <w:pPr>
        <w:pStyle w:val="ListParagraph"/>
        <w:numPr>
          <w:ilvl w:val="0"/>
          <w:numId w:val="1"/>
        </w:numPr>
        <w:jc w:val="both"/>
        <w:rPr>
          <w:b/>
        </w:rPr>
      </w:pPr>
      <w:r>
        <w:rPr>
          <w:b/>
        </w:rPr>
        <w:lastRenderedPageBreak/>
        <w:t>INTRODUCTION</w:t>
      </w:r>
    </w:p>
    <w:p w14:paraId="1D1D4BB4" w14:textId="77777777" w:rsidR="003F1E24" w:rsidRDefault="003F1E24" w:rsidP="00CB6346">
      <w:pPr>
        <w:jc w:val="both"/>
      </w:pPr>
    </w:p>
    <w:p w14:paraId="4F8BF41F" w14:textId="406E887A" w:rsidR="00CB6346" w:rsidRDefault="00CB6346" w:rsidP="00CB6346">
      <w:pPr>
        <w:jc w:val="both"/>
      </w:pPr>
      <w:r>
        <w:t>Liverpool Hope University</w:t>
      </w:r>
      <w:r w:rsidR="009F3422">
        <w:t xml:space="preserve"> pursues a path of excellence in scholarship and collegial life without reservation or hesitation and aims to manage its operations in ways that are environmentally sustainable, economically feasible and socially responsible.</w:t>
      </w:r>
      <w:r w:rsidR="0001359F">
        <w:t xml:space="preserve">  The University is committed to maintaining, and where possible, enhancing the quality of its environment for its staff and students living and working at the University</w:t>
      </w:r>
      <w:r w:rsidR="003F1E24">
        <w:t xml:space="preserve">; not just because we have to, but because it is embedded within our philosophy, mission and values.  </w:t>
      </w:r>
    </w:p>
    <w:p w14:paraId="47212473" w14:textId="77777777" w:rsidR="00426708" w:rsidRDefault="00426708" w:rsidP="00CB6346">
      <w:pPr>
        <w:jc w:val="both"/>
      </w:pPr>
    </w:p>
    <w:p w14:paraId="2E266BC5" w14:textId="7F8A30DD" w:rsidR="00067601" w:rsidRDefault="00067601" w:rsidP="00067601">
      <w:pPr>
        <w:jc w:val="both"/>
      </w:pPr>
      <w:r>
        <w:t>The depletion of finite natural resources and the degradation of the environment presents significant risk to economic development and the quality of human life.  Protecting and enhancing the quality of life for current and future generations is cen</w:t>
      </w:r>
      <w:r w:rsidR="00CF633F">
        <w:t xml:space="preserve">tral to </w:t>
      </w:r>
      <w:r w:rsidR="00D7268C">
        <w:t xml:space="preserve">sustainability and the </w:t>
      </w:r>
      <w:r>
        <w:t xml:space="preserve">opportunities and challenges are considerable and dealing with these risks requires both technological invention and behavioural changes.  </w:t>
      </w:r>
    </w:p>
    <w:p w14:paraId="130137D1" w14:textId="77777777" w:rsidR="00067601" w:rsidRDefault="00067601" w:rsidP="00067601">
      <w:pPr>
        <w:jc w:val="both"/>
      </w:pPr>
    </w:p>
    <w:p w14:paraId="32671952" w14:textId="68BEB803" w:rsidR="009D4446" w:rsidRDefault="009D4446" w:rsidP="003F1E24">
      <w:pPr>
        <w:jc w:val="both"/>
      </w:pPr>
      <w:r>
        <w:t>Reducing carbon emissions is critical to reduce</w:t>
      </w:r>
      <w:r w:rsidR="003C5E7D">
        <w:t>,</w:t>
      </w:r>
      <w:r>
        <w:t xml:space="preserve"> and manage</w:t>
      </w:r>
      <w:r w:rsidR="003C5E7D">
        <w:t>,</w:t>
      </w:r>
      <w:r>
        <w:t xml:space="preserve"> risks from increased regulation</w:t>
      </w:r>
      <w:r w:rsidR="003C5E7D">
        <w:t xml:space="preserve">; </w:t>
      </w:r>
      <w:r>
        <w:t>to allow us to meet any future funding requirements</w:t>
      </w:r>
      <w:r w:rsidR="003C5E7D">
        <w:t xml:space="preserve">; </w:t>
      </w:r>
      <w:r>
        <w:t>reduce the cost of the consumption of the associated products and materials; reduce operational risks associated with climate change</w:t>
      </w:r>
      <w:r w:rsidR="004E18C1">
        <w:t>; and improv</w:t>
      </w:r>
      <w:r w:rsidR="003C5E7D">
        <w:t>e</w:t>
      </w:r>
      <w:r w:rsidR="004E18C1">
        <w:t xml:space="preserve"> the operation and maintenance of the estate</w:t>
      </w:r>
      <w:r>
        <w:t>.  Carbon reduction also provides opportunities for technological advancement, personal development and enable</w:t>
      </w:r>
      <w:r w:rsidR="00E13A6E">
        <w:t>s</w:t>
      </w:r>
      <w:r>
        <w:t xml:space="preserve"> us to contribute to a more sustainable future.  As a responsible organisation, Liverpool Hope University recognises</w:t>
      </w:r>
      <w:r w:rsidR="00C84260">
        <w:t xml:space="preserve"> that it cannot continue to operate business as usual and </w:t>
      </w:r>
      <w:r w:rsidR="00016C4C">
        <w:t>sustainability and carbon reduction</w:t>
      </w:r>
      <w:r w:rsidR="003F1E24">
        <w:t xml:space="preserve"> must form part of the core business and decision-making process.  Reducing our consumption and use of goods and services and i</w:t>
      </w:r>
      <w:r>
        <w:t>mprov</w:t>
      </w:r>
      <w:r w:rsidR="003F1E24">
        <w:t>ing</w:t>
      </w:r>
      <w:r>
        <w:t xml:space="preserve"> energy efficiency</w:t>
      </w:r>
      <w:r w:rsidR="006D4826">
        <w:t xml:space="preserve"> not only to reduce</w:t>
      </w:r>
      <w:r w:rsidR="003F1E24">
        <w:t>s</w:t>
      </w:r>
      <w:r>
        <w:t xml:space="preserve"> </w:t>
      </w:r>
      <w:r w:rsidR="006D4826">
        <w:t>our</w:t>
      </w:r>
      <w:r>
        <w:t xml:space="preserve"> carbon emissions</w:t>
      </w:r>
      <w:r w:rsidR="003F1E24">
        <w:t xml:space="preserve"> and associated costs</w:t>
      </w:r>
      <w:r w:rsidR="006D4826">
        <w:t>, but also improve</w:t>
      </w:r>
      <w:r w:rsidR="003F1E24">
        <w:t>s</w:t>
      </w:r>
      <w:r w:rsidR="006D4826">
        <w:t xml:space="preserve"> our environmental impact</w:t>
      </w:r>
      <w:r w:rsidR="003F1E24">
        <w:t xml:space="preserve"> and positions us to successfully adapt to a low carbon future.  </w:t>
      </w:r>
    </w:p>
    <w:p w14:paraId="017F3C9A" w14:textId="4D62D65B" w:rsidR="009D4446" w:rsidRDefault="006D4826" w:rsidP="009D4446">
      <w:pPr>
        <w:jc w:val="both"/>
      </w:pPr>
      <w:r>
        <w:t xml:space="preserve"> </w:t>
      </w:r>
    </w:p>
    <w:p w14:paraId="261E82A6" w14:textId="20FFD654" w:rsidR="00DF64FA" w:rsidRDefault="00DF64FA" w:rsidP="00200BDE">
      <w:pPr>
        <w:pStyle w:val="ListParagraph"/>
        <w:numPr>
          <w:ilvl w:val="0"/>
          <w:numId w:val="2"/>
        </w:numPr>
        <w:jc w:val="both"/>
        <w:rPr>
          <w:b/>
        </w:rPr>
      </w:pPr>
      <w:r>
        <w:rPr>
          <w:b/>
        </w:rPr>
        <w:t xml:space="preserve">Carbon </w:t>
      </w:r>
      <w:r w:rsidR="00864839">
        <w:rPr>
          <w:b/>
        </w:rPr>
        <w:t>Reduction</w:t>
      </w:r>
      <w:r>
        <w:rPr>
          <w:b/>
        </w:rPr>
        <w:t xml:space="preserve"> Plan purpose</w:t>
      </w:r>
    </w:p>
    <w:p w14:paraId="01807BF5" w14:textId="3DA5FCBD" w:rsidR="00DF64FA" w:rsidRDefault="00DF64FA" w:rsidP="00DF64FA">
      <w:pPr>
        <w:jc w:val="both"/>
      </w:pPr>
      <w:r>
        <w:t xml:space="preserve">The Carbon </w:t>
      </w:r>
      <w:r w:rsidR="00864839">
        <w:t>Reduction</w:t>
      </w:r>
      <w:r>
        <w:t xml:space="preserve"> Plan (C</w:t>
      </w:r>
      <w:r w:rsidR="00864839">
        <w:t>R</w:t>
      </w:r>
      <w:r>
        <w:t>P) 2020</w:t>
      </w:r>
      <w:r w:rsidR="00D30559">
        <w:t>-</w:t>
      </w:r>
      <w:r w:rsidR="005D2621">
        <w:t>2025</w:t>
      </w:r>
      <w:r>
        <w:t xml:space="preserve"> </w:t>
      </w:r>
      <w:r w:rsidR="00F10678">
        <w:t>is a continuation of</w:t>
      </w:r>
      <w:r>
        <w:t xml:space="preserve"> the 2009-2010 to 2014-2015 and draft 2015-2016 to </w:t>
      </w:r>
      <w:r w:rsidR="00E91A60">
        <w:t>2019-2020</w:t>
      </w:r>
      <w:r>
        <w:t xml:space="preserve"> Plans and details the University’s carbon emissions</w:t>
      </w:r>
      <w:r w:rsidR="00F10678">
        <w:t xml:space="preserve">, </w:t>
      </w:r>
      <w:r w:rsidR="003C5E7D">
        <w:t>reduction targets</w:t>
      </w:r>
      <w:r w:rsidR="00F10678">
        <w:t xml:space="preserve"> and strategies for reducing emissions and</w:t>
      </w:r>
      <w:r>
        <w:t>:</w:t>
      </w:r>
    </w:p>
    <w:p w14:paraId="392025EB" w14:textId="28A9F403" w:rsidR="00DF64FA" w:rsidRDefault="00DF64FA" w:rsidP="003C5E7D">
      <w:pPr>
        <w:pStyle w:val="ListParagraph"/>
        <w:numPr>
          <w:ilvl w:val="0"/>
          <w:numId w:val="35"/>
        </w:numPr>
        <w:jc w:val="both"/>
      </w:pPr>
      <w:r>
        <w:t>reflect</w:t>
      </w:r>
      <w:r w:rsidR="00F10678">
        <w:t>s</w:t>
      </w:r>
      <w:r>
        <w:t xml:space="preserve"> changing legislation and the revision of the University’s Corporate Plan (2020</w:t>
      </w:r>
      <w:r w:rsidR="00864839">
        <w:t xml:space="preserve"> onwards</w:t>
      </w:r>
      <w:r>
        <w:t>)</w:t>
      </w:r>
    </w:p>
    <w:p w14:paraId="215B7FE4" w14:textId="6072E852" w:rsidR="00DF64FA" w:rsidRDefault="006D4826" w:rsidP="003C5E7D">
      <w:pPr>
        <w:pStyle w:val="ListParagraph"/>
        <w:numPr>
          <w:ilvl w:val="0"/>
          <w:numId w:val="35"/>
        </w:numPr>
        <w:jc w:val="both"/>
      </w:pPr>
      <w:r>
        <w:t>account</w:t>
      </w:r>
      <w:r w:rsidR="00F10678">
        <w:t>s</w:t>
      </w:r>
      <w:r>
        <w:t xml:space="preserve"> for</w:t>
      </w:r>
      <w:r w:rsidR="00DF64FA">
        <w:t xml:space="preserve"> the evolving carbon reporting requirements and changing carbon conversion factors; </w:t>
      </w:r>
    </w:p>
    <w:p w14:paraId="4E4612C3" w14:textId="40192DF6" w:rsidR="00DF64FA" w:rsidRDefault="00DF64FA" w:rsidP="003C5E7D">
      <w:pPr>
        <w:pStyle w:val="ListParagraph"/>
        <w:numPr>
          <w:ilvl w:val="0"/>
          <w:numId w:val="35"/>
        </w:numPr>
        <w:jc w:val="both"/>
      </w:pPr>
      <w:r>
        <w:t>celebrat</w:t>
      </w:r>
      <w:r w:rsidR="00F10678">
        <w:t>es</w:t>
      </w:r>
      <w:r>
        <w:t xml:space="preserve"> our achievement to date; </w:t>
      </w:r>
    </w:p>
    <w:p w14:paraId="714AA0DF" w14:textId="0C141E4A" w:rsidR="00DF64FA" w:rsidRDefault="00DF64FA" w:rsidP="003C5E7D">
      <w:pPr>
        <w:pStyle w:val="ListParagraph"/>
        <w:numPr>
          <w:ilvl w:val="0"/>
          <w:numId w:val="35"/>
        </w:numPr>
        <w:jc w:val="both"/>
      </w:pPr>
      <w:r>
        <w:t>incorporat</w:t>
      </w:r>
      <w:r w:rsidR="00F10678">
        <w:t>es</w:t>
      </w:r>
      <w:r>
        <w:t xml:space="preserve"> our current environmental position;</w:t>
      </w:r>
    </w:p>
    <w:p w14:paraId="6E355054" w14:textId="36EC0CD8" w:rsidR="005E1A78" w:rsidRDefault="00DF64FA" w:rsidP="003C5E7D">
      <w:pPr>
        <w:pStyle w:val="ListParagraph"/>
        <w:numPr>
          <w:ilvl w:val="0"/>
          <w:numId w:val="35"/>
        </w:numPr>
        <w:jc w:val="both"/>
      </w:pPr>
      <w:r>
        <w:t>allow</w:t>
      </w:r>
      <w:r w:rsidR="00F10678">
        <w:t>s</w:t>
      </w:r>
      <w:r>
        <w:t xml:space="preserve"> the University to present its revised carbon reduction targets; </w:t>
      </w:r>
    </w:p>
    <w:p w14:paraId="570A89A4" w14:textId="5CBD9516" w:rsidR="00DF64FA" w:rsidRDefault="005E1A78" w:rsidP="003C5E7D">
      <w:pPr>
        <w:pStyle w:val="ListParagraph"/>
        <w:numPr>
          <w:ilvl w:val="0"/>
          <w:numId w:val="35"/>
        </w:numPr>
        <w:jc w:val="both"/>
      </w:pPr>
      <w:r>
        <w:t>detail</w:t>
      </w:r>
      <w:r w:rsidR="00F10678">
        <w:t>s</w:t>
      </w:r>
      <w:r>
        <w:t xml:space="preserve"> the steps required to measure, monitor and reduce its carbon emissions; </w:t>
      </w:r>
      <w:r w:rsidR="00DF64FA">
        <w:t xml:space="preserve">and </w:t>
      </w:r>
    </w:p>
    <w:p w14:paraId="4A4F3185" w14:textId="432191EF" w:rsidR="00DF64FA" w:rsidRDefault="00DF64FA" w:rsidP="003C5E7D">
      <w:pPr>
        <w:pStyle w:val="ListParagraph"/>
        <w:numPr>
          <w:ilvl w:val="0"/>
          <w:numId w:val="35"/>
        </w:numPr>
        <w:jc w:val="both"/>
      </w:pPr>
      <w:r>
        <w:t>outlin</w:t>
      </w:r>
      <w:r w:rsidR="00F10678">
        <w:t>es</w:t>
      </w:r>
      <w:r>
        <w:t xml:space="preserve"> the future carbon reduction projects and initiatives we are committed to undertake </w:t>
      </w:r>
      <w:r w:rsidR="005E1A78">
        <w:t>both in terms of infrastructure improvements</w:t>
      </w:r>
      <w:r w:rsidR="00B33FA8">
        <w:t xml:space="preserve">, </w:t>
      </w:r>
      <w:r w:rsidR="005E1A78">
        <w:t>through stakeholder engagement and changing working practices</w:t>
      </w:r>
    </w:p>
    <w:p w14:paraId="1A21E35E" w14:textId="1FCE331E" w:rsidR="00DF64FA" w:rsidRDefault="00DF64FA" w:rsidP="00DF64FA">
      <w:pPr>
        <w:jc w:val="both"/>
        <w:rPr>
          <w:b/>
        </w:rPr>
      </w:pPr>
    </w:p>
    <w:p w14:paraId="18DD6A36" w14:textId="0CAEB9E7" w:rsidR="002F7C8A" w:rsidRDefault="002F7C8A" w:rsidP="00200BDE">
      <w:pPr>
        <w:pStyle w:val="ListParagraph"/>
        <w:numPr>
          <w:ilvl w:val="0"/>
          <w:numId w:val="2"/>
        </w:numPr>
        <w:jc w:val="both"/>
        <w:rPr>
          <w:b/>
        </w:rPr>
      </w:pPr>
      <w:r>
        <w:rPr>
          <w:b/>
        </w:rPr>
        <w:t>Liverpool Hope University</w:t>
      </w:r>
    </w:p>
    <w:p w14:paraId="1F75A005" w14:textId="39F37766" w:rsidR="002F7C8A" w:rsidRDefault="00C417E3" w:rsidP="002F7C8A">
      <w:pPr>
        <w:jc w:val="both"/>
      </w:pPr>
      <w:r>
        <w:t>Liverpool Hope University has four campuses: t</w:t>
      </w:r>
      <w:r w:rsidR="00162F2A">
        <w:t>here are two teaching campuses</w:t>
      </w:r>
      <w:r w:rsidR="001F3C6B">
        <w:t xml:space="preserve"> with accommodation</w:t>
      </w:r>
      <w:r w:rsidR="00162F2A">
        <w:t xml:space="preserve">: Hope Park, </w:t>
      </w:r>
      <w:proofErr w:type="spellStart"/>
      <w:r w:rsidR="00162F2A">
        <w:t>Childwall</w:t>
      </w:r>
      <w:proofErr w:type="spellEnd"/>
      <w:r w:rsidR="00162F2A">
        <w:t xml:space="preserve"> and the Creative Campus, Everton; a residential campus in Aigburth; and an outdoor recreation centre near Barmouth.  The University has approximately </w:t>
      </w:r>
      <w:r w:rsidR="00E13A6E" w:rsidRPr="005D11A5">
        <w:t>6</w:t>
      </w:r>
      <w:r w:rsidR="00864839">
        <w:t>10</w:t>
      </w:r>
      <w:r w:rsidR="00162F2A" w:rsidRPr="005D11A5">
        <w:t xml:space="preserve"> </w:t>
      </w:r>
      <w:r w:rsidR="00B96FA5" w:rsidRPr="005D11A5">
        <w:t>staff and 4</w:t>
      </w:r>
      <w:r w:rsidR="00864839">
        <w:t>8</w:t>
      </w:r>
      <w:r w:rsidR="001F3C6B" w:rsidRPr="005D11A5">
        <w:t>00</w:t>
      </w:r>
      <w:r w:rsidR="00162F2A">
        <w:t xml:space="preserve"> student full time equivalents.  </w:t>
      </w:r>
      <w:r w:rsidR="002F7C8A">
        <w:t>The carbon emissions are calculated from an estate of over 250,000 m</w:t>
      </w:r>
      <w:r w:rsidR="002F7C8A" w:rsidRPr="002F7C8A">
        <w:rPr>
          <w:vertAlign w:val="superscript"/>
        </w:rPr>
        <w:t>2</w:t>
      </w:r>
      <w:r w:rsidR="002F7C8A">
        <w:t xml:space="preserve"> </w:t>
      </w:r>
      <w:r w:rsidR="0041431B">
        <w:t xml:space="preserve">with </w:t>
      </w:r>
      <w:r w:rsidR="00864839">
        <w:t>3</w:t>
      </w:r>
      <w:r w:rsidR="0041431B">
        <w:t xml:space="preserve">3 buildings </w:t>
      </w:r>
      <w:r w:rsidR="002F7C8A">
        <w:t>and a building footprint (gross internal area) of over 8</w:t>
      </w:r>
      <w:r w:rsidR="00864839">
        <w:t>5</w:t>
      </w:r>
      <w:r w:rsidR="002F7C8A">
        <w:t>,000 m</w:t>
      </w:r>
      <w:r w:rsidR="002F7C8A" w:rsidRPr="002F7C8A">
        <w:rPr>
          <w:vertAlign w:val="superscript"/>
        </w:rPr>
        <w:t>2</w:t>
      </w:r>
      <w:r w:rsidR="002F7C8A">
        <w:t xml:space="preserve">.  </w:t>
      </w:r>
    </w:p>
    <w:p w14:paraId="47C0BEC8" w14:textId="77777777" w:rsidR="002F7C8A" w:rsidRDefault="002F7C8A" w:rsidP="002F7C8A">
      <w:pPr>
        <w:jc w:val="both"/>
      </w:pPr>
    </w:p>
    <w:p w14:paraId="4863D799" w14:textId="6F7BD0F6" w:rsidR="002F7C8A" w:rsidRDefault="002F7C8A" w:rsidP="002F7C8A">
      <w:pPr>
        <w:jc w:val="both"/>
      </w:pPr>
      <w:r>
        <w:t xml:space="preserve">Liverpool Hope University </w:t>
      </w:r>
      <w:r w:rsidR="00721A7D">
        <w:t xml:space="preserve">has a variety of buildings of different ages (from 1840 to present) and </w:t>
      </w:r>
      <w:r w:rsidR="008E4C70">
        <w:t>construction</w:t>
      </w:r>
      <w:r w:rsidR="00721A7D">
        <w:t xml:space="preserve"> types across </w:t>
      </w:r>
      <w:r w:rsidR="0034175D">
        <w:t xml:space="preserve">the </w:t>
      </w:r>
      <w:r w:rsidR="00721A7D">
        <w:t>four locations.  Reducing carbon emissions in each of these buildings is going to require an individual approach.</w:t>
      </w:r>
    </w:p>
    <w:p w14:paraId="01404C6C" w14:textId="42C49B31" w:rsidR="002F7C8A" w:rsidRDefault="002F7C8A" w:rsidP="002F7C8A">
      <w:pPr>
        <w:jc w:val="both"/>
        <w:rPr>
          <w:b/>
        </w:rPr>
      </w:pPr>
    </w:p>
    <w:p w14:paraId="19AD4078" w14:textId="17A1578A" w:rsidR="00CE2A15" w:rsidRDefault="00CE2A15" w:rsidP="00200BDE">
      <w:pPr>
        <w:pStyle w:val="ListParagraph"/>
        <w:numPr>
          <w:ilvl w:val="0"/>
          <w:numId w:val="2"/>
        </w:numPr>
        <w:jc w:val="both"/>
        <w:rPr>
          <w:b/>
        </w:rPr>
      </w:pPr>
      <w:r>
        <w:rPr>
          <w:b/>
        </w:rPr>
        <w:t xml:space="preserve">Connections to other </w:t>
      </w:r>
      <w:r w:rsidR="004235F9">
        <w:rPr>
          <w:b/>
        </w:rPr>
        <w:t>strategic documents</w:t>
      </w:r>
    </w:p>
    <w:p w14:paraId="18D27B0A" w14:textId="4A04A086" w:rsidR="004235F9" w:rsidRPr="004235F9" w:rsidRDefault="004235F9" w:rsidP="004235F9">
      <w:pPr>
        <w:jc w:val="both"/>
        <w:rPr>
          <w:rFonts w:cstheme="minorHAnsi"/>
        </w:rPr>
      </w:pPr>
      <w:r w:rsidRPr="004235F9">
        <w:rPr>
          <w:rFonts w:cstheme="minorHAnsi"/>
        </w:rPr>
        <w:t>The C</w:t>
      </w:r>
      <w:r w:rsidR="00864839">
        <w:rPr>
          <w:rFonts w:cstheme="minorHAnsi"/>
        </w:rPr>
        <w:t>R</w:t>
      </w:r>
      <w:r w:rsidRPr="004235F9">
        <w:rPr>
          <w:rFonts w:cstheme="minorHAnsi"/>
        </w:rPr>
        <w:t xml:space="preserve">P forms a </w:t>
      </w:r>
      <w:r w:rsidR="00B33FA8">
        <w:rPr>
          <w:rFonts w:cstheme="minorHAnsi"/>
        </w:rPr>
        <w:t>central</w:t>
      </w:r>
      <w:r w:rsidRPr="004235F9">
        <w:rPr>
          <w:rFonts w:cstheme="minorHAnsi"/>
        </w:rPr>
        <w:t xml:space="preserve"> part of the University’s </w:t>
      </w:r>
      <w:r w:rsidR="004D25DC">
        <w:rPr>
          <w:rFonts w:cstheme="minorHAnsi"/>
        </w:rPr>
        <w:t xml:space="preserve">Environmental </w:t>
      </w:r>
      <w:r w:rsidRPr="004235F9">
        <w:rPr>
          <w:rFonts w:cstheme="minorHAnsi"/>
        </w:rPr>
        <w:t xml:space="preserve">Sustainability </w:t>
      </w:r>
      <w:r>
        <w:rPr>
          <w:rFonts w:cstheme="minorHAnsi"/>
        </w:rPr>
        <w:t>Policy</w:t>
      </w:r>
      <w:r w:rsidRPr="004235F9">
        <w:rPr>
          <w:rFonts w:cstheme="minorHAnsi"/>
        </w:rPr>
        <w:t xml:space="preserve">, which sets out the University’s commitment to </w:t>
      </w:r>
      <w:r w:rsidR="001D0BA0">
        <w:rPr>
          <w:rFonts w:cstheme="minorHAnsi"/>
        </w:rPr>
        <w:t xml:space="preserve">improving its environmental </w:t>
      </w:r>
      <w:r w:rsidR="003F1E24">
        <w:rPr>
          <w:rFonts w:cstheme="minorHAnsi"/>
        </w:rPr>
        <w:t>impact</w:t>
      </w:r>
      <w:r w:rsidR="00F10678">
        <w:rPr>
          <w:rFonts w:cstheme="minorHAnsi"/>
        </w:rPr>
        <w:t xml:space="preserve">.  The Plan aligns itself with the Corporate Plan and is directly linked to the </w:t>
      </w:r>
      <w:r w:rsidR="003F1E24">
        <w:rPr>
          <w:rFonts w:cstheme="minorHAnsi"/>
        </w:rPr>
        <w:t>Estates Strategy</w:t>
      </w:r>
      <w:r w:rsidR="00F10678">
        <w:rPr>
          <w:rFonts w:cstheme="minorHAnsi"/>
        </w:rPr>
        <w:t xml:space="preserve"> and </w:t>
      </w:r>
      <w:r w:rsidR="004D25DC">
        <w:rPr>
          <w:rFonts w:cstheme="minorHAnsi"/>
        </w:rPr>
        <w:t xml:space="preserve">is </w:t>
      </w:r>
      <w:r w:rsidR="00F10678">
        <w:rPr>
          <w:rFonts w:cstheme="minorHAnsi"/>
        </w:rPr>
        <w:t xml:space="preserve">supported by the </w:t>
      </w:r>
      <w:r w:rsidRPr="004235F9">
        <w:rPr>
          <w:rFonts w:cstheme="minorHAnsi"/>
        </w:rPr>
        <w:t>Travel Plan, Heating Policy</w:t>
      </w:r>
      <w:r w:rsidR="004D25DC">
        <w:rPr>
          <w:rFonts w:cstheme="minorHAnsi"/>
        </w:rPr>
        <w:t>,</w:t>
      </w:r>
      <w:r w:rsidR="006E3EDE">
        <w:rPr>
          <w:rFonts w:cstheme="minorHAnsi"/>
        </w:rPr>
        <w:t xml:space="preserve"> Catering and Hospitality</w:t>
      </w:r>
      <w:r w:rsidR="00CD71AD">
        <w:rPr>
          <w:rFonts w:cstheme="minorHAnsi"/>
        </w:rPr>
        <w:t xml:space="preserve"> Policy, Adaptations to Climate Change Plan</w:t>
      </w:r>
      <w:r w:rsidR="006E3EDE">
        <w:rPr>
          <w:rFonts w:cstheme="minorHAnsi"/>
        </w:rPr>
        <w:t xml:space="preserve"> </w:t>
      </w:r>
      <w:r w:rsidRPr="004235F9">
        <w:rPr>
          <w:rFonts w:cstheme="minorHAnsi"/>
        </w:rPr>
        <w:t>and Procurement Policy</w:t>
      </w:r>
      <w:r w:rsidR="00F10678">
        <w:rPr>
          <w:rFonts w:cstheme="minorHAnsi"/>
        </w:rPr>
        <w:t>;</w:t>
      </w:r>
      <w:r w:rsidR="004D25DC">
        <w:rPr>
          <w:rFonts w:cstheme="minorHAnsi"/>
        </w:rPr>
        <w:t xml:space="preserve"> and provides</w:t>
      </w:r>
      <w:r w:rsidR="00F10678">
        <w:rPr>
          <w:rFonts w:cstheme="minorHAnsi"/>
        </w:rPr>
        <w:t xml:space="preserve"> the </w:t>
      </w:r>
      <w:r w:rsidRPr="004235F9">
        <w:rPr>
          <w:rFonts w:cstheme="minorHAnsi"/>
        </w:rPr>
        <w:t xml:space="preserve">pathway to how we will reduce our carbon emissions and </w:t>
      </w:r>
      <w:r w:rsidR="001D0BA0">
        <w:rPr>
          <w:rFonts w:cstheme="minorHAnsi"/>
        </w:rPr>
        <w:t xml:space="preserve">ultimately </w:t>
      </w:r>
      <w:r w:rsidRPr="004235F9">
        <w:rPr>
          <w:rFonts w:cstheme="minorHAnsi"/>
        </w:rPr>
        <w:t xml:space="preserve">improve our environmental impact.  This Plan carries relevance and repercussions for all other University policies, strategies and plans and should be considered as they </w:t>
      </w:r>
      <w:r w:rsidR="00F10678">
        <w:rPr>
          <w:rFonts w:cstheme="minorHAnsi"/>
        </w:rPr>
        <w:t>are</w:t>
      </w:r>
      <w:r w:rsidRPr="004235F9">
        <w:rPr>
          <w:rFonts w:cstheme="minorHAnsi"/>
        </w:rPr>
        <w:t xml:space="preserve"> revised.  </w:t>
      </w:r>
    </w:p>
    <w:p w14:paraId="362CEC2F" w14:textId="1606B005" w:rsidR="004235F9" w:rsidRDefault="004235F9" w:rsidP="004235F9">
      <w:pPr>
        <w:jc w:val="both"/>
        <w:rPr>
          <w:rFonts w:cstheme="minorHAnsi"/>
        </w:rPr>
      </w:pPr>
    </w:p>
    <w:p w14:paraId="199B66D1" w14:textId="79C41FD6" w:rsidR="00A04A36" w:rsidRDefault="00A04A36" w:rsidP="004235F9">
      <w:pPr>
        <w:jc w:val="both"/>
        <w:rPr>
          <w:rFonts w:cstheme="minorHAnsi"/>
        </w:rPr>
      </w:pPr>
    </w:p>
    <w:p w14:paraId="7406529E" w14:textId="77777777" w:rsidR="00A04A36" w:rsidRPr="004235F9" w:rsidRDefault="00A04A36" w:rsidP="004235F9">
      <w:pPr>
        <w:jc w:val="both"/>
        <w:rPr>
          <w:rFonts w:cstheme="minorHAnsi"/>
        </w:rPr>
      </w:pPr>
    </w:p>
    <w:p w14:paraId="335E4057" w14:textId="1DF99ED6" w:rsidR="00CE2A15" w:rsidRPr="004235F9" w:rsidRDefault="00CE2A15" w:rsidP="00200BDE">
      <w:pPr>
        <w:pStyle w:val="ListParagraph"/>
        <w:numPr>
          <w:ilvl w:val="0"/>
          <w:numId w:val="2"/>
        </w:numPr>
        <w:jc w:val="both"/>
        <w:rPr>
          <w:rFonts w:cstheme="minorHAnsi"/>
          <w:b/>
        </w:rPr>
      </w:pPr>
      <w:r w:rsidRPr="004235F9">
        <w:rPr>
          <w:rFonts w:cstheme="minorHAnsi"/>
          <w:b/>
        </w:rPr>
        <w:lastRenderedPageBreak/>
        <w:t>Monitoring and review</w:t>
      </w:r>
    </w:p>
    <w:p w14:paraId="14DF17DA" w14:textId="2B15252C" w:rsidR="00640212" w:rsidRPr="004235F9" w:rsidRDefault="004235F9" w:rsidP="003F1E24">
      <w:pPr>
        <w:jc w:val="both"/>
        <w:rPr>
          <w:rFonts w:cstheme="minorHAnsi"/>
        </w:rPr>
      </w:pPr>
      <w:r w:rsidRPr="004235F9">
        <w:rPr>
          <w:rFonts w:cstheme="minorHAnsi"/>
        </w:rPr>
        <w:t>The ongoing collection</w:t>
      </w:r>
      <w:r w:rsidR="008A3821">
        <w:rPr>
          <w:rFonts w:cstheme="minorHAnsi"/>
        </w:rPr>
        <w:t>, collation and analysis</w:t>
      </w:r>
      <w:r w:rsidRPr="004235F9">
        <w:rPr>
          <w:rFonts w:cstheme="minorHAnsi"/>
        </w:rPr>
        <w:t xml:space="preserve"> of pertinent data will be undertaken by the Sustainability Manager, who will also monitor and maintain the Plan.  </w:t>
      </w:r>
      <w:r w:rsidR="00640212" w:rsidRPr="004235F9">
        <w:rPr>
          <w:rFonts w:cstheme="minorHAnsi"/>
        </w:rPr>
        <w:t xml:space="preserve">This </w:t>
      </w:r>
      <w:r w:rsidRPr="004235F9">
        <w:rPr>
          <w:rFonts w:cstheme="minorHAnsi"/>
        </w:rPr>
        <w:t>Plan</w:t>
      </w:r>
      <w:r w:rsidR="00640212" w:rsidRPr="004235F9">
        <w:rPr>
          <w:rFonts w:cstheme="minorHAnsi"/>
        </w:rPr>
        <w:t xml:space="preserve"> will be </w:t>
      </w:r>
      <w:r w:rsidR="003F1E24">
        <w:rPr>
          <w:rFonts w:cstheme="minorHAnsi"/>
        </w:rPr>
        <w:t>revised and updated</w:t>
      </w:r>
      <w:r w:rsidR="00640212" w:rsidRPr="004235F9">
        <w:rPr>
          <w:rFonts w:cstheme="minorHAnsi"/>
        </w:rPr>
        <w:t xml:space="preserve"> on an annual basis </w:t>
      </w:r>
      <w:r w:rsidR="003F1E24">
        <w:rPr>
          <w:rFonts w:cstheme="minorHAnsi"/>
        </w:rPr>
        <w:t xml:space="preserve">to ensure that we are on track to meet our ambitious targets, and to ensure that we remain agile in this ever-changing world.  An annual </w:t>
      </w:r>
      <w:r w:rsidR="00640212" w:rsidRPr="004235F9">
        <w:rPr>
          <w:rFonts w:cstheme="minorHAnsi"/>
        </w:rPr>
        <w:t>report will be produced to reflect progress.</w:t>
      </w:r>
      <w:r w:rsidRPr="004235F9">
        <w:rPr>
          <w:rFonts w:cstheme="minorHAnsi"/>
        </w:rPr>
        <w:t xml:space="preserve">  The </w:t>
      </w:r>
      <w:r w:rsidR="003C5E7D">
        <w:rPr>
          <w:rFonts w:cstheme="minorHAnsi"/>
        </w:rPr>
        <w:t xml:space="preserve">accompanying </w:t>
      </w:r>
      <w:r w:rsidR="00F10678">
        <w:rPr>
          <w:rFonts w:cstheme="minorHAnsi"/>
        </w:rPr>
        <w:t xml:space="preserve">Carbon Reduction </w:t>
      </w:r>
      <w:r w:rsidR="00117B94">
        <w:rPr>
          <w:rFonts w:cstheme="minorHAnsi"/>
        </w:rPr>
        <w:t>project</w:t>
      </w:r>
      <w:r w:rsidR="00A04A36">
        <w:rPr>
          <w:rFonts w:cstheme="minorHAnsi"/>
        </w:rPr>
        <w:t xml:space="preserve"> plan</w:t>
      </w:r>
      <w:r w:rsidR="006E3EDE">
        <w:rPr>
          <w:rFonts w:cstheme="minorHAnsi"/>
        </w:rPr>
        <w:t xml:space="preserve"> </w:t>
      </w:r>
      <w:r w:rsidR="001D0BA0">
        <w:rPr>
          <w:rFonts w:cstheme="minorHAnsi"/>
        </w:rPr>
        <w:t xml:space="preserve">is an </w:t>
      </w:r>
      <w:r w:rsidRPr="004235F9">
        <w:rPr>
          <w:rFonts w:cstheme="minorHAnsi"/>
        </w:rPr>
        <w:t>active document and will be updated as projects</w:t>
      </w:r>
      <w:r w:rsidR="00A04A36">
        <w:rPr>
          <w:rFonts w:cstheme="minorHAnsi"/>
        </w:rPr>
        <w:t>/initiatives</w:t>
      </w:r>
      <w:r w:rsidRPr="004235F9">
        <w:rPr>
          <w:rFonts w:cstheme="minorHAnsi"/>
        </w:rPr>
        <w:t xml:space="preserve"> are completed, and </w:t>
      </w:r>
      <w:r w:rsidR="001D0BA0">
        <w:rPr>
          <w:rFonts w:cstheme="minorHAnsi"/>
        </w:rPr>
        <w:t xml:space="preserve">as </w:t>
      </w:r>
      <w:r w:rsidRPr="004235F9">
        <w:rPr>
          <w:rFonts w:cstheme="minorHAnsi"/>
        </w:rPr>
        <w:t>others are identified and quantified.</w:t>
      </w:r>
    </w:p>
    <w:p w14:paraId="5EE220D9" w14:textId="77777777" w:rsidR="00640212" w:rsidRPr="004235F9" w:rsidRDefault="00640212" w:rsidP="00640212">
      <w:pPr>
        <w:jc w:val="both"/>
        <w:rPr>
          <w:rFonts w:cstheme="minorHAnsi"/>
        </w:rPr>
      </w:pPr>
    </w:p>
    <w:p w14:paraId="4DA2B2DA" w14:textId="47DF0F4C" w:rsidR="00640212" w:rsidRPr="004235F9" w:rsidRDefault="00640212" w:rsidP="00640212">
      <w:pPr>
        <w:jc w:val="both"/>
        <w:rPr>
          <w:rFonts w:cstheme="minorHAnsi"/>
        </w:rPr>
      </w:pPr>
      <w:r w:rsidRPr="004235F9">
        <w:rPr>
          <w:rFonts w:cstheme="minorHAnsi"/>
        </w:rPr>
        <w:t xml:space="preserve">Progress, and any barriers, will be reported to the University’s Senior Executive Team and Estates </w:t>
      </w:r>
      <w:r w:rsidR="001358F9">
        <w:rPr>
          <w:rFonts w:cstheme="minorHAnsi"/>
        </w:rPr>
        <w:t xml:space="preserve">and IT </w:t>
      </w:r>
      <w:r w:rsidRPr="004235F9">
        <w:rPr>
          <w:rFonts w:cstheme="minorHAnsi"/>
        </w:rPr>
        <w:t xml:space="preserve">Strategic Planning Group; the minutes from which are reported to the Finance and General Purposes Committee, Senate, and ultimately University Council.  </w:t>
      </w:r>
    </w:p>
    <w:p w14:paraId="3782D463" w14:textId="77777777" w:rsidR="00CE2A15" w:rsidRPr="004235F9" w:rsidRDefault="00CE2A15" w:rsidP="00CE2A15">
      <w:pPr>
        <w:jc w:val="both"/>
        <w:rPr>
          <w:rFonts w:cstheme="minorHAnsi"/>
        </w:rPr>
      </w:pPr>
    </w:p>
    <w:p w14:paraId="0DF8177E" w14:textId="53D0ED76" w:rsidR="00640212" w:rsidRPr="004235F9" w:rsidRDefault="00640212" w:rsidP="00200BDE">
      <w:pPr>
        <w:pStyle w:val="ListParagraph"/>
        <w:numPr>
          <w:ilvl w:val="0"/>
          <w:numId w:val="2"/>
        </w:numPr>
        <w:jc w:val="both"/>
        <w:rPr>
          <w:rFonts w:cstheme="minorHAnsi"/>
          <w:b/>
        </w:rPr>
      </w:pPr>
      <w:r w:rsidRPr="004235F9">
        <w:rPr>
          <w:rFonts w:cstheme="minorHAnsi"/>
          <w:b/>
        </w:rPr>
        <w:t>Responsibility</w:t>
      </w:r>
    </w:p>
    <w:p w14:paraId="6D260351" w14:textId="6AF40E04" w:rsidR="004235F9" w:rsidRDefault="004235F9" w:rsidP="009B6310">
      <w:pPr>
        <w:jc w:val="both"/>
        <w:rPr>
          <w:rFonts w:cstheme="minorHAnsi"/>
        </w:rPr>
      </w:pPr>
      <w:r w:rsidRPr="004235F9">
        <w:rPr>
          <w:rFonts w:cstheme="minorHAnsi"/>
        </w:rPr>
        <w:t xml:space="preserve">To achieve </w:t>
      </w:r>
      <w:r w:rsidR="009B6310">
        <w:rPr>
          <w:rFonts w:cstheme="minorHAnsi"/>
        </w:rPr>
        <w:t xml:space="preserve">the carbon reduction targets set out within this </w:t>
      </w:r>
      <w:r w:rsidRPr="004235F9">
        <w:rPr>
          <w:rFonts w:cstheme="minorHAnsi"/>
        </w:rPr>
        <w:t xml:space="preserve">Plan </w:t>
      </w:r>
      <w:r w:rsidR="00027A46">
        <w:rPr>
          <w:rFonts w:cstheme="minorHAnsi"/>
        </w:rPr>
        <w:t xml:space="preserve">a whole institution approach is essential and </w:t>
      </w:r>
      <w:r w:rsidR="009B6310">
        <w:rPr>
          <w:rFonts w:cstheme="minorHAnsi"/>
        </w:rPr>
        <w:t xml:space="preserve">will require </w:t>
      </w:r>
      <w:r w:rsidRPr="004235F9">
        <w:rPr>
          <w:rFonts w:cstheme="minorHAnsi"/>
        </w:rPr>
        <w:t>commitment, conviction, skills development and the challenging of conventional approaches and behaviours</w:t>
      </w:r>
      <w:r w:rsidR="003F1E24">
        <w:rPr>
          <w:rFonts w:cstheme="minorHAnsi"/>
        </w:rPr>
        <w:t xml:space="preserve">.  Carbon </w:t>
      </w:r>
      <w:r w:rsidR="00864839">
        <w:rPr>
          <w:rFonts w:cstheme="minorHAnsi"/>
        </w:rPr>
        <w:t>reduction</w:t>
      </w:r>
      <w:r w:rsidR="003F1E24">
        <w:rPr>
          <w:rFonts w:cstheme="minorHAnsi"/>
        </w:rPr>
        <w:t xml:space="preserve"> </w:t>
      </w:r>
      <w:r w:rsidR="00027A46">
        <w:rPr>
          <w:rFonts w:cstheme="minorHAnsi"/>
        </w:rPr>
        <w:t xml:space="preserve">has to be at the heart of how we operate and deliver our services and </w:t>
      </w:r>
      <w:r w:rsidR="003F1E24">
        <w:rPr>
          <w:rFonts w:cstheme="minorHAnsi"/>
        </w:rPr>
        <w:t xml:space="preserve">must become embedded in decision making processes across the full range of University operations as decisions made now and within the lifetime of this plan will dictate whether we are able to meet our </w:t>
      </w:r>
      <w:r w:rsidR="00D7268C">
        <w:rPr>
          <w:rFonts w:cstheme="minorHAnsi"/>
        </w:rPr>
        <w:t xml:space="preserve">carbon reduction </w:t>
      </w:r>
      <w:r w:rsidR="003F1E24">
        <w:rPr>
          <w:rFonts w:cstheme="minorHAnsi"/>
        </w:rPr>
        <w:t>targets</w:t>
      </w:r>
      <w:r w:rsidRPr="004235F9">
        <w:rPr>
          <w:rFonts w:cstheme="minorHAnsi"/>
        </w:rPr>
        <w:t>.</w:t>
      </w:r>
      <w:r w:rsidR="0041431B">
        <w:rPr>
          <w:rFonts w:cstheme="minorHAnsi"/>
        </w:rPr>
        <w:t xml:space="preserve">  There will be some difficult </w:t>
      </w:r>
      <w:r w:rsidR="00787277">
        <w:rPr>
          <w:rFonts w:cstheme="minorHAnsi"/>
        </w:rPr>
        <w:t xml:space="preserve">choices to be made throughout the lifetime of this Plan and some opportunities may have to be re-imagined if we are to achieve our </w:t>
      </w:r>
      <w:r w:rsidR="001D0BA0">
        <w:rPr>
          <w:rFonts w:cstheme="minorHAnsi"/>
        </w:rPr>
        <w:t>targets</w:t>
      </w:r>
      <w:r w:rsidR="00C84260">
        <w:rPr>
          <w:rFonts w:cstheme="minorHAnsi"/>
        </w:rPr>
        <w:t xml:space="preserve">.  The many different priorities and demands placed upon us have to be dealt with, </w:t>
      </w:r>
      <w:r w:rsidR="00B77587">
        <w:rPr>
          <w:rFonts w:cstheme="minorHAnsi"/>
        </w:rPr>
        <w:t>including consideration of our budgetary constraints</w:t>
      </w:r>
      <w:r w:rsidR="00C84260">
        <w:rPr>
          <w:rFonts w:cstheme="minorHAnsi"/>
        </w:rPr>
        <w:t>; it is therefore vital that we remain agile so that we can respond to all challenges.</w:t>
      </w:r>
    </w:p>
    <w:p w14:paraId="73E0C919" w14:textId="77777777" w:rsidR="004235F9" w:rsidRPr="004235F9" w:rsidRDefault="004235F9" w:rsidP="004235F9">
      <w:pPr>
        <w:jc w:val="both"/>
        <w:rPr>
          <w:rFonts w:cstheme="minorHAnsi"/>
        </w:rPr>
      </w:pPr>
    </w:p>
    <w:p w14:paraId="180E00DC" w14:textId="2AE0A41A" w:rsidR="00640212" w:rsidRPr="004F66A2" w:rsidRDefault="00640212" w:rsidP="00640212">
      <w:pPr>
        <w:jc w:val="both"/>
        <w:rPr>
          <w:rFonts w:cstheme="minorHAnsi"/>
        </w:rPr>
      </w:pPr>
      <w:r w:rsidRPr="004F66A2">
        <w:rPr>
          <w:rFonts w:cstheme="minorHAnsi"/>
        </w:rPr>
        <w:t xml:space="preserve">Overall responsibility, and accountability, sits with University Council and the Office of the Vice Chancellor.  The Sustainability Group, chaired by the Executive Director of Finance Services and Resources, </w:t>
      </w:r>
      <w:r w:rsidR="003F1E24">
        <w:rPr>
          <w:rFonts w:cstheme="minorHAnsi"/>
        </w:rPr>
        <w:t>is</w:t>
      </w:r>
      <w:r w:rsidRPr="004F66A2">
        <w:rPr>
          <w:rFonts w:cstheme="minorHAnsi"/>
        </w:rPr>
        <w:t xml:space="preserve"> responsible for setting and reviewing the University’s sustainability objectives and targets and will ensure delivery of the objectives outlined within this </w:t>
      </w:r>
      <w:r w:rsidR="004235F9" w:rsidRPr="004F66A2">
        <w:rPr>
          <w:rFonts w:cstheme="minorHAnsi"/>
        </w:rPr>
        <w:t>Plan</w:t>
      </w:r>
      <w:r w:rsidRPr="004F66A2">
        <w:rPr>
          <w:rFonts w:cstheme="minorHAnsi"/>
        </w:rPr>
        <w:t xml:space="preserve">; the group will meet at least once per term.  </w:t>
      </w:r>
    </w:p>
    <w:p w14:paraId="6C43B4FC" w14:textId="77777777" w:rsidR="00640212" w:rsidRPr="004F66A2" w:rsidRDefault="00640212" w:rsidP="00640212">
      <w:pPr>
        <w:jc w:val="both"/>
        <w:rPr>
          <w:rFonts w:cstheme="minorHAnsi"/>
        </w:rPr>
      </w:pPr>
    </w:p>
    <w:p w14:paraId="2DE00954" w14:textId="4E5062DD" w:rsidR="004235F9" w:rsidRPr="004F66A2" w:rsidRDefault="00640212" w:rsidP="004235F9">
      <w:pPr>
        <w:jc w:val="both"/>
        <w:rPr>
          <w:rFonts w:cstheme="minorHAnsi"/>
        </w:rPr>
      </w:pPr>
      <w:r w:rsidRPr="004F66A2">
        <w:rPr>
          <w:rFonts w:cstheme="minorHAnsi"/>
        </w:rPr>
        <w:t>All staff, students, visitors and business partners have an obligation to be mindful of the environment and everyone has a very important role to play in managing materials and resources responsibly and accounting for the impacts of their individual choices and actions.  Everyone can make a positive contribution through promotion and practice of good environmental stewardship</w:t>
      </w:r>
      <w:r w:rsidR="00027A46">
        <w:rPr>
          <w:rFonts w:cstheme="minorHAnsi"/>
        </w:rPr>
        <w:t xml:space="preserve"> and working collaboratively to enable effective and enduring carbon reduction</w:t>
      </w:r>
      <w:r w:rsidRPr="004F66A2">
        <w:rPr>
          <w:rFonts w:cstheme="minorHAnsi"/>
        </w:rPr>
        <w:t>.</w:t>
      </w:r>
      <w:r w:rsidR="004235F9" w:rsidRPr="004F66A2">
        <w:rPr>
          <w:rFonts w:cstheme="minorHAnsi"/>
        </w:rPr>
        <w:t xml:space="preserve">  </w:t>
      </w:r>
    </w:p>
    <w:p w14:paraId="04A71E5E" w14:textId="06D2B79B" w:rsidR="00640212" w:rsidRPr="004F66A2" w:rsidRDefault="00640212" w:rsidP="00640212">
      <w:pPr>
        <w:jc w:val="both"/>
        <w:rPr>
          <w:rFonts w:cstheme="minorHAnsi"/>
        </w:rPr>
      </w:pPr>
    </w:p>
    <w:p w14:paraId="573508C1" w14:textId="16FB3DF9" w:rsidR="00640212" w:rsidRPr="004F66A2" w:rsidRDefault="00640212" w:rsidP="00640212">
      <w:pPr>
        <w:jc w:val="both"/>
        <w:rPr>
          <w:rFonts w:cstheme="minorHAnsi"/>
          <w:b/>
        </w:rPr>
      </w:pPr>
      <w:r w:rsidRPr="004F66A2">
        <w:rPr>
          <w:rFonts w:cstheme="minorHAnsi"/>
        </w:rPr>
        <w:t xml:space="preserve">All members of the University community are encouraged to continue to contribute ideas and concerns to enable the fulfilment of this </w:t>
      </w:r>
      <w:r w:rsidR="004235F9" w:rsidRPr="004F66A2">
        <w:rPr>
          <w:rFonts w:cstheme="minorHAnsi"/>
        </w:rPr>
        <w:t>Plan</w:t>
      </w:r>
      <w:r w:rsidR="001D0BA0">
        <w:rPr>
          <w:rFonts w:cstheme="minorHAnsi"/>
        </w:rPr>
        <w:t xml:space="preserve"> and to actively challenge us to become more sustainable</w:t>
      </w:r>
      <w:r w:rsidRPr="004F66A2">
        <w:rPr>
          <w:rFonts w:cstheme="minorHAnsi"/>
        </w:rPr>
        <w:t>.</w:t>
      </w:r>
    </w:p>
    <w:p w14:paraId="1EEA2F0B" w14:textId="77777777" w:rsidR="004235F9" w:rsidRPr="004F66A2" w:rsidRDefault="004235F9" w:rsidP="004235F9">
      <w:pPr>
        <w:jc w:val="both"/>
        <w:rPr>
          <w:rFonts w:cstheme="minorHAnsi"/>
        </w:rPr>
      </w:pPr>
    </w:p>
    <w:p w14:paraId="41EA143B" w14:textId="01A9E9E2" w:rsidR="00640212" w:rsidRPr="004F66A2" w:rsidRDefault="00640212" w:rsidP="00200BDE">
      <w:pPr>
        <w:pStyle w:val="ListParagraph"/>
        <w:numPr>
          <w:ilvl w:val="0"/>
          <w:numId w:val="2"/>
        </w:numPr>
        <w:jc w:val="both"/>
        <w:rPr>
          <w:rFonts w:cstheme="minorHAnsi"/>
          <w:b/>
        </w:rPr>
      </w:pPr>
      <w:r w:rsidRPr="004F66A2">
        <w:rPr>
          <w:rFonts w:cstheme="minorHAnsi"/>
          <w:b/>
        </w:rPr>
        <w:t>Risk</w:t>
      </w:r>
    </w:p>
    <w:p w14:paraId="569B920F" w14:textId="77777777" w:rsidR="00E91A60" w:rsidRDefault="00640212" w:rsidP="00640212">
      <w:pPr>
        <w:jc w:val="both"/>
        <w:rPr>
          <w:rFonts w:cstheme="minorHAnsi"/>
        </w:rPr>
      </w:pPr>
      <w:r w:rsidRPr="004F66A2">
        <w:rPr>
          <w:rFonts w:cstheme="minorHAnsi"/>
        </w:rPr>
        <w:t>Failure to fully embrace the challenges and opportunities presented will lead to the creation of an unsustainable University unable to compete with its more sustainable competitors</w:t>
      </w:r>
      <w:r w:rsidR="00FD38A0">
        <w:rPr>
          <w:rFonts w:cstheme="minorHAnsi"/>
        </w:rPr>
        <w:t xml:space="preserve">.  </w:t>
      </w:r>
    </w:p>
    <w:p w14:paraId="77C08DF7" w14:textId="37C82E2B" w:rsidR="00E91A60" w:rsidRDefault="00E91A60" w:rsidP="00640212">
      <w:pPr>
        <w:jc w:val="both"/>
        <w:rPr>
          <w:rFonts w:cstheme="minorHAnsi"/>
        </w:rPr>
      </w:pPr>
    </w:p>
    <w:p w14:paraId="159FEDAF" w14:textId="0323917C" w:rsidR="00E91A60" w:rsidRDefault="00E91A60" w:rsidP="00640212">
      <w:pPr>
        <w:jc w:val="both"/>
        <w:rPr>
          <w:rFonts w:cstheme="minorHAnsi"/>
        </w:rPr>
      </w:pPr>
      <w:r>
        <w:rPr>
          <w:rFonts w:cstheme="minorHAnsi"/>
        </w:rPr>
        <w:t>There are a number of high-level risks which could affect the delivery of the carbon reduction plan:</w:t>
      </w:r>
    </w:p>
    <w:p w14:paraId="0690FBBF" w14:textId="54A061DB" w:rsidR="00E91A60" w:rsidRDefault="00E91A60" w:rsidP="00E91A60">
      <w:pPr>
        <w:pStyle w:val="ListParagraph"/>
        <w:numPr>
          <w:ilvl w:val="0"/>
          <w:numId w:val="35"/>
        </w:numPr>
        <w:jc w:val="both"/>
        <w:rPr>
          <w:rFonts w:cstheme="minorHAnsi"/>
        </w:rPr>
      </w:pPr>
      <w:r>
        <w:rPr>
          <w:rFonts w:cstheme="minorHAnsi"/>
        </w:rPr>
        <w:t>Financial constraints linked to student numbers and funding</w:t>
      </w:r>
    </w:p>
    <w:p w14:paraId="27D6ED58" w14:textId="56D78DE8" w:rsidR="00E91A60" w:rsidRDefault="00E91A60" w:rsidP="00E91A60">
      <w:pPr>
        <w:pStyle w:val="ListParagraph"/>
        <w:numPr>
          <w:ilvl w:val="0"/>
          <w:numId w:val="35"/>
        </w:numPr>
        <w:jc w:val="both"/>
        <w:rPr>
          <w:rFonts w:cstheme="minorHAnsi"/>
        </w:rPr>
      </w:pPr>
      <w:r>
        <w:rPr>
          <w:rFonts w:cstheme="minorHAnsi"/>
        </w:rPr>
        <w:t>Additional student numbers and/or capital projects increasing energy use and the carbon footprint</w:t>
      </w:r>
    </w:p>
    <w:p w14:paraId="266BD566" w14:textId="758B1479" w:rsidR="00E91A60" w:rsidRDefault="00E91A60" w:rsidP="00E91A60">
      <w:pPr>
        <w:pStyle w:val="ListParagraph"/>
        <w:numPr>
          <w:ilvl w:val="0"/>
          <w:numId w:val="35"/>
        </w:numPr>
        <w:jc w:val="both"/>
        <w:rPr>
          <w:rFonts w:cstheme="minorHAnsi"/>
        </w:rPr>
      </w:pPr>
      <w:r>
        <w:rPr>
          <w:rFonts w:cstheme="minorHAnsi"/>
        </w:rPr>
        <w:t>The payback of projects being affected by energy prices</w:t>
      </w:r>
    </w:p>
    <w:p w14:paraId="739D55AC" w14:textId="5E6A345F" w:rsidR="00E91A60" w:rsidRDefault="00E91A60" w:rsidP="00E91A60">
      <w:pPr>
        <w:pStyle w:val="ListParagraph"/>
        <w:numPr>
          <w:ilvl w:val="0"/>
          <w:numId w:val="35"/>
        </w:numPr>
        <w:jc w:val="both"/>
        <w:rPr>
          <w:rFonts w:cstheme="minorHAnsi"/>
        </w:rPr>
      </w:pPr>
      <w:r>
        <w:rPr>
          <w:rFonts w:cstheme="minorHAnsi"/>
        </w:rPr>
        <w:t>Continued restrictions/supplies issues as a result of Brexit and Covid-19 leading to difficulties in completing projects</w:t>
      </w:r>
    </w:p>
    <w:p w14:paraId="2D7436E2" w14:textId="44B41CAA" w:rsidR="00E91A60" w:rsidRDefault="00E91A60" w:rsidP="00E91A60">
      <w:pPr>
        <w:pStyle w:val="ListParagraph"/>
        <w:numPr>
          <w:ilvl w:val="0"/>
          <w:numId w:val="35"/>
        </w:numPr>
        <w:jc w:val="both"/>
        <w:rPr>
          <w:rFonts w:cstheme="minorHAnsi"/>
        </w:rPr>
      </w:pPr>
      <w:r>
        <w:rPr>
          <w:rFonts w:cstheme="minorHAnsi"/>
        </w:rPr>
        <w:t>Changes to building operation as a result of Covid-19</w:t>
      </w:r>
    </w:p>
    <w:p w14:paraId="4CBC7D6C" w14:textId="0A8FF380" w:rsidR="00E91A60" w:rsidRPr="00E91A60" w:rsidRDefault="00E91A60" w:rsidP="00E91A60">
      <w:pPr>
        <w:pStyle w:val="ListParagraph"/>
        <w:numPr>
          <w:ilvl w:val="0"/>
          <w:numId w:val="35"/>
        </w:numPr>
        <w:jc w:val="both"/>
        <w:rPr>
          <w:rFonts w:cstheme="minorHAnsi"/>
        </w:rPr>
      </w:pPr>
      <w:r>
        <w:rPr>
          <w:rFonts w:cstheme="minorHAnsi"/>
        </w:rPr>
        <w:t>Uncertainty how the Government and the sector will respond and engage with the carbon/</w:t>
      </w:r>
      <w:r w:rsidR="005D2621">
        <w:rPr>
          <w:rFonts w:cstheme="minorHAnsi"/>
        </w:rPr>
        <w:t>sustainability</w:t>
      </w:r>
      <w:r>
        <w:rPr>
          <w:rFonts w:cstheme="minorHAnsi"/>
        </w:rPr>
        <w:t xml:space="preserve"> agenda.</w:t>
      </w:r>
    </w:p>
    <w:p w14:paraId="468357B2" w14:textId="77777777" w:rsidR="00E91A60" w:rsidRDefault="00E91A60" w:rsidP="00640212">
      <w:pPr>
        <w:jc w:val="both"/>
        <w:rPr>
          <w:rFonts w:cstheme="minorHAnsi"/>
        </w:rPr>
      </w:pPr>
    </w:p>
    <w:p w14:paraId="4444410D" w14:textId="0C480FDB" w:rsidR="00027A46" w:rsidRDefault="00FD38A0" w:rsidP="00640212">
      <w:pPr>
        <w:jc w:val="both"/>
        <w:rPr>
          <w:rFonts w:cstheme="minorHAnsi"/>
        </w:rPr>
      </w:pPr>
      <w:r>
        <w:rPr>
          <w:rFonts w:cstheme="minorHAnsi"/>
        </w:rPr>
        <w:t xml:space="preserve">If carbon </w:t>
      </w:r>
      <w:r w:rsidR="006E3EDE">
        <w:rPr>
          <w:rFonts w:cstheme="minorHAnsi"/>
        </w:rPr>
        <w:t>management</w:t>
      </w:r>
      <w:r>
        <w:rPr>
          <w:rFonts w:cstheme="minorHAnsi"/>
        </w:rPr>
        <w:t xml:space="preserve"> and reduction are not embedded</w:t>
      </w:r>
      <w:r w:rsidR="00117B94">
        <w:rPr>
          <w:rFonts w:cstheme="minorHAnsi"/>
        </w:rPr>
        <w:t>,</w:t>
      </w:r>
      <w:r>
        <w:rPr>
          <w:rFonts w:cstheme="minorHAnsi"/>
        </w:rPr>
        <w:t xml:space="preserve"> the University risks</w:t>
      </w:r>
      <w:r w:rsidR="00027A46">
        <w:rPr>
          <w:rFonts w:cstheme="minorHAnsi"/>
        </w:rPr>
        <w:t>:</w:t>
      </w:r>
    </w:p>
    <w:p w14:paraId="7211998F" w14:textId="1133D81F" w:rsidR="00027A46" w:rsidRDefault="00027A46" w:rsidP="00215EC3">
      <w:pPr>
        <w:pStyle w:val="ListParagraph"/>
        <w:numPr>
          <w:ilvl w:val="0"/>
          <w:numId w:val="35"/>
        </w:numPr>
        <w:jc w:val="both"/>
        <w:rPr>
          <w:rFonts w:cstheme="minorHAnsi"/>
        </w:rPr>
      </w:pPr>
      <w:r w:rsidRPr="00027A46">
        <w:rPr>
          <w:rFonts w:cstheme="minorHAnsi"/>
        </w:rPr>
        <w:t>Increas</w:t>
      </w:r>
      <w:r>
        <w:rPr>
          <w:rFonts w:cstheme="minorHAnsi"/>
        </w:rPr>
        <w:t xml:space="preserve">ing its </w:t>
      </w:r>
      <w:r w:rsidRPr="00027A46">
        <w:rPr>
          <w:rFonts w:cstheme="minorHAnsi"/>
        </w:rPr>
        <w:t>consumption of goods, services and utilities (</w:t>
      </w:r>
      <w:r w:rsidR="00F76997" w:rsidRPr="00027A46">
        <w:rPr>
          <w:rFonts w:cstheme="minorHAnsi"/>
        </w:rPr>
        <w:t xml:space="preserve">and further exposing itself to increasing costs in an increasingly volatile market); </w:t>
      </w:r>
    </w:p>
    <w:p w14:paraId="3893AA52" w14:textId="7630D79E" w:rsidR="00027A46" w:rsidRDefault="00027A46" w:rsidP="00215EC3">
      <w:pPr>
        <w:pStyle w:val="ListParagraph"/>
        <w:numPr>
          <w:ilvl w:val="0"/>
          <w:numId w:val="35"/>
        </w:numPr>
        <w:jc w:val="both"/>
        <w:rPr>
          <w:rFonts w:cstheme="minorHAnsi"/>
        </w:rPr>
      </w:pPr>
      <w:r>
        <w:rPr>
          <w:rFonts w:cstheme="minorHAnsi"/>
        </w:rPr>
        <w:t>I</w:t>
      </w:r>
      <w:r w:rsidR="00640212" w:rsidRPr="00027A46">
        <w:rPr>
          <w:rFonts w:cstheme="minorHAnsi"/>
        </w:rPr>
        <w:t xml:space="preserve">ncreasing its carbon footprint; </w:t>
      </w:r>
    </w:p>
    <w:p w14:paraId="1324116D" w14:textId="0D335213" w:rsidR="00027A46" w:rsidRDefault="00027A46" w:rsidP="00215EC3">
      <w:pPr>
        <w:pStyle w:val="ListParagraph"/>
        <w:numPr>
          <w:ilvl w:val="0"/>
          <w:numId w:val="35"/>
        </w:numPr>
        <w:jc w:val="both"/>
        <w:rPr>
          <w:rFonts w:cstheme="minorHAnsi"/>
        </w:rPr>
      </w:pPr>
      <w:r>
        <w:rPr>
          <w:rFonts w:cstheme="minorHAnsi"/>
        </w:rPr>
        <w:t>Increasing the physical risk to land and property due to higher likely incidences of extremes of weather associated with climate change, potentially disrupting our operations through loss of facilities and increasing insurance premiums</w:t>
      </w:r>
    </w:p>
    <w:p w14:paraId="04E06106" w14:textId="60FA049D" w:rsidR="00027A46" w:rsidRDefault="00FD38A0" w:rsidP="00215EC3">
      <w:pPr>
        <w:pStyle w:val="ListParagraph"/>
        <w:numPr>
          <w:ilvl w:val="0"/>
          <w:numId w:val="35"/>
        </w:numPr>
        <w:jc w:val="both"/>
        <w:rPr>
          <w:rFonts w:cstheme="minorHAnsi"/>
        </w:rPr>
      </w:pPr>
      <w:r>
        <w:rPr>
          <w:rFonts w:cstheme="minorHAnsi"/>
        </w:rPr>
        <w:lastRenderedPageBreak/>
        <w:t>Reducing its resilience to energy security if self-generation is not increased</w:t>
      </w:r>
    </w:p>
    <w:p w14:paraId="728FF251" w14:textId="2AEF882A" w:rsidR="00FD38A0" w:rsidRDefault="00FD38A0" w:rsidP="00215EC3">
      <w:pPr>
        <w:pStyle w:val="ListParagraph"/>
        <w:numPr>
          <w:ilvl w:val="0"/>
          <w:numId w:val="35"/>
        </w:numPr>
        <w:jc w:val="both"/>
        <w:rPr>
          <w:rFonts w:cstheme="minorHAnsi"/>
        </w:rPr>
      </w:pPr>
      <w:r>
        <w:rPr>
          <w:rFonts w:cstheme="minorHAnsi"/>
        </w:rPr>
        <w:t>Failing to secure funding that is linked to carbon reduction</w:t>
      </w:r>
    </w:p>
    <w:p w14:paraId="51D4692A" w14:textId="08D94B22" w:rsidR="00027A46" w:rsidRDefault="00027A46" w:rsidP="00215EC3">
      <w:pPr>
        <w:pStyle w:val="ListParagraph"/>
        <w:numPr>
          <w:ilvl w:val="0"/>
          <w:numId w:val="35"/>
        </w:numPr>
        <w:jc w:val="both"/>
        <w:rPr>
          <w:rFonts w:cstheme="minorHAnsi"/>
        </w:rPr>
      </w:pPr>
      <w:r>
        <w:rPr>
          <w:rFonts w:cstheme="minorHAnsi"/>
        </w:rPr>
        <w:t>F</w:t>
      </w:r>
      <w:r w:rsidR="00640212" w:rsidRPr="00027A46">
        <w:rPr>
          <w:rFonts w:cstheme="minorHAnsi"/>
        </w:rPr>
        <w:t>ail</w:t>
      </w:r>
      <w:r>
        <w:rPr>
          <w:rFonts w:cstheme="minorHAnsi"/>
        </w:rPr>
        <w:t>ing to</w:t>
      </w:r>
      <w:r w:rsidR="00640212" w:rsidRPr="00027A46">
        <w:rPr>
          <w:rFonts w:cstheme="minorHAnsi"/>
        </w:rPr>
        <w:t xml:space="preserve">, contribute to and, achieve local, sector and national carbon reduction targets; </w:t>
      </w:r>
    </w:p>
    <w:p w14:paraId="3B6CB69C" w14:textId="77777777" w:rsidR="00027A46" w:rsidRDefault="00027A46" w:rsidP="00215EC3">
      <w:pPr>
        <w:pStyle w:val="ListParagraph"/>
        <w:numPr>
          <w:ilvl w:val="0"/>
          <w:numId w:val="35"/>
        </w:numPr>
        <w:jc w:val="both"/>
        <w:rPr>
          <w:rFonts w:cstheme="minorHAnsi"/>
        </w:rPr>
      </w:pPr>
      <w:r>
        <w:rPr>
          <w:rFonts w:cstheme="minorHAnsi"/>
        </w:rPr>
        <w:t xml:space="preserve">Exposing itself to the risk </w:t>
      </w:r>
      <w:r w:rsidR="00640212" w:rsidRPr="00027A46">
        <w:rPr>
          <w:rFonts w:cstheme="minorHAnsi"/>
        </w:rPr>
        <w:t>of noncompliance</w:t>
      </w:r>
      <w:r>
        <w:rPr>
          <w:rFonts w:cstheme="minorHAnsi"/>
        </w:rPr>
        <w:t>;</w:t>
      </w:r>
    </w:p>
    <w:p w14:paraId="7EA0D94D" w14:textId="38DDCE61" w:rsidR="00640212" w:rsidRPr="00027A46" w:rsidRDefault="00027A46" w:rsidP="00215EC3">
      <w:pPr>
        <w:pStyle w:val="ListParagraph"/>
        <w:numPr>
          <w:ilvl w:val="0"/>
          <w:numId w:val="35"/>
        </w:numPr>
        <w:jc w:val="both"/>
        <w:rPr>
          <w:rFonts w:cstheme="minorHAnsi"/>
        </w:rPr>
      </w:pPr>
      <w:r>
        <w:rPr>
          <w:rFonts w:cstheme="minorHAnsi"/>
        </w:rPr>
        <w:t>N</w:t>
      </w:r>
      <w:r w:rsidR="00640212" w:rsidRPr="00027A46">
        <w:rPr>
          <w:rFonts w:cstheme="minorHAnsi"/>
        </w:rPr>
        <w:t xml:space="preserve">egatively impacting on the University’s </w:t>
      </w:r>
      <w:r w:rsidR="001358F9">
        <w:rPr>
          <w:rFonts w:cstheme="minorHAnsi"/>
        </w:rPr>
        <w:t>Corporate profile</w:t>
      </w:r>
      <w:r w:rsidR="001358F9" w:rsidRPr="00027A46">
        <w:rPr>
          <w:rFonts w:cstheme="minorHAnsi"/>
        </w:rPr>
        <w:t xml:space="preserve"> </w:t>
      </w:r>
      <w:r w:rsidR="00640212" w:rsidRPr="00027A46">
        <w:rPr>
          <w:rFonts w:cstheme="minorHAnsi"/>
        </w:rPr>
        <w:t>and reputation.</w:t>
      </w:r>
    </w:p>
    <w:p w14:paraId="311AA738" w14:textId="11CDEC74" w:rsidR="00CE2A15" w:rsidRPr="004235F9" w:rsidRDefault="00CE2A15" w:rsidP="00640212">
      <w:pPr>
        <w:jc w:val="both"/>
        <w:rPr>
          <w:rFonts w:cstheme="minorHAnsi"/>
          <w:b/>
        </w:rPr>
      </w:pPr>
    </w:p>
    <w:p w14:paraId="25D36E9D" w14:textId="11469A1E" w:rsidR="00787277" w:rsidRDefault="00787277" w:rsidP="007F4668">
      <w:pPr>
        <w:pStyle w:val="ListParagraph"/>
        <w:numPr>
          <w:ilvl w:val="0"/>
          <w:numId w:val="1"/>
        </w:numPr>
        <w:jc w:val="both"/>
        <w:rPr>
          <w:b/>
        </w:rPr>
      </w:pPr>
      <w:r>
        <w:rPr>
          <w:b/>
        </w:rPr>
        <w:t xml:space="preserve">DRIVERS FOR CARBON </w:t>
      </w:r>
      <w:r w:rsidR="00864839">
        <w:rPr>
          <w:b/>
        </w:rPr>
        <w:t>REDUCTION</w:t>
      </w:r>
    </w:p>
    <w:p w14:paraId="1B8AEFE0" w14:textId="77777777" w:rsidR="00787277" w:rsidRPr="00787277" w:rsidRDefault="00787277" w:rsidP="00787277">
      <w:pPr>
        <w:jc w:val="both"/>
        <w:rPr>
          <w:b/>
        </w:rPr>
      </w:pPr>
    </w:p>
    <w:p w14:paraId="0EF2A3CE" w14:textId="40D6D8A8" w:rsidR="00787277" w:rsidRDefault="00D40C45" w:rsidP="00D40C45">
      <w:pPr>
        <w:jc w:val="both"/>
        <w:rPr>
          <w:rFonts w:cstheme="minorHAnsi"/>
        </w:rPr>
      </w:pPr>
      <w:r>
        <w:rPr>
          <w:rFonts w:cstheme="minorHAnsi"/>
        </w:rPr>
        <w:t>The sustainability agenda has progressed rapidly over the past decade with growing recognition of the global challenges posed by issues such as climate chan</w:t>
      </w:r>
      <w:r w:rsidR="008A0C79">
        <w:rPr>
          <w:rFonts w:cstheme="minorHAnsi"/>
        </w:rPr>
        <w:t>g</w:t>
      </w:r>
      <w:r>
        <w:rPr>
          <w:rFonts w:cstheme="minorHAnsi"/>
        </w:rPr>
        <w:t xml:space="preserve">e, reduced resource availability and population growth.  There are many factors driving our need to reduce our carbon emissions, </w:t>
      </w:r>
      <w:r w:rsidR="00787277">
        <w:rPr>
          <w:rFonts w:cstheme="minorHAnsi"/>
        </w:rPr>
        <w:t>improve our environmental sustainability and reduce our negative impact</w:t>
      </w:r>
      <w:r>
        <w:rPr>
          <w:rFonts w:cstheme="minorHAnsi"/>
        </w:rPr>
        <w:t xml:space="preserve"> overall</w:t>
      </w:r>
      <w:r w:rsidR="00787277">
        <w:rPr>
          <w:rFonts w:cstheme="minorHAnsi"/>
        </w:rPr>
        <w:t>, including:</w:t>
      </w:r>
    </w:p>
    <w:p w14:paraId="6D6EF3DC" w14:textId="77777777" w:rsidR="00787277" w:rsidRDefault="00787277" w:rsidP="00787277">
      <w:pPr>
        <w:jc w:val="both"/>
        <w:rPr>
          <w:rFonts w:cstheme="minorHAnsi"/>
        </w:rPr>
      </w:pPr>
    </w:p>
    <w:p w14:paraId="23D9D67F" w14:textId="77777777" w:rsidR="00787277" w:rsidRDefault="00787277" w:rsidP="00787277">
      <w:pPr>
        <w:pStyle w:val="ListParagraph"/>
        <w:numPr>
          <w:ilvl w:val="1"/>
          <w:numId w:val="22"/>
        </w:numPr>
        <w:ind w:left="993" w:hanging="426"/>
        <w:jc w:val="both"/>
        <w:rPr>
          <w:rFonts w:cstheme="minorHAnsi"/>
          <w:b/>
          <w:bCs/>
        </w:rPr>
      </w:pPr>
      <w:r>
        <w:rPr>
          <w:rFonts w:cstheme="minorHAnsi"/>
          <w:b/>
          <w:bCs/>
        </w:rPr>
        <w:t>Global</w:t>
      </w:r>
    </w:p>
    <w:p w14:paraId="77068BBE" w14:textId="2EAE6399" w:rsidR="00787277" w:rsidRDefault="00787277" w:rsidP="00787277">
      <w:pPr>
        <w:jc w:val="both"/>
        <w:rPr>
          <w:rFonts w:cstheme="minorHAnsi"/>
        </w:rPr>
      </w:pPr>
      <w:r>
        <w:rPr>
          <w:rFonts w:cstheme="minorHAnsi"/>
        </w:rPr>
        <w:t xml:space="preserve">Public awareness and demand for </w:t>
      </w:r>
      <w:r w:rsidR="00982EB7">
        <w:rPr>
          <w:rFonts w:cstheme="minorHAnsi"/>
        </w:rPr>
        <w:t xml:space="preserve">climate </w:t>
      </w:r>
      <w:r>
        <w:rPr>
          <w:rFonts w:cstheme="minorHAnsi"/>
        </w:rPr>
        <w:t xml:space="preserve">action has been increasing and is </w:t>
      </w:r>
      <w:r w:rsidR="00D40C45">
        <w:rPr>
          <w:rFonts w:cstheme="minorHAnsi"/>
        </w:rPr>
        <w:t>continuing</w:t>
      </w:r>
      <w:r w:rsidR="00C97C4C">
        <w:rPr>
          <w:rFonts w:cstheme="minorHAnsi"/>
        </w:rPr>
        <w:t>.  Increasing media attention and the significant changes in the weather recently experienced all contribute to society seeing climate change as a pressing issue.  The pressure on businesses to c</w:t>
      </w:r>
      <w:r>
        <w:rPr>
          <w:rFonts w:cstheme="minorHAnsi"/>
        </w:rPr>
        <w:t xml:space="preserve">ommit to a greener strategy and actively reduce their emissions is </w:t>
      </w:r>
      <w:r w:rsidR="00982EB7">
        <w:rPr>
          <w:rFonts w:cstheme="minorHAnsi"/>
        </w:rPr>
        <w:t>increasing</w:t>
      </w:r>
      <w:r>
        <w:rPr>
          <w:rFonts w:cstheme="minorHAnsi"/>
        </w:rPr>
        <w:t>.</w:t>
      </w:r>
    </w:p>
    <w:p w14:paraId="512BEE69" w14:textId="77777777" w:rsidR="00787277" w:rsidRDefault="00787277" w:rsidP="00787277">
      <w:pPr>
        <w:jc w:val="both"/>
        <w:rPr>
          <w:rFonts w:cstheme="minorHAnsi"/>
        </w:rPr>
      </w:pPr>
    </w:p>
    <w:p w14:paraId="1D660BB0" w14:textId="77777777" w:rsidR="00787277" w:rsidRDefault="00787277" w:rsidP="00787277">
      <w:pPr>
        <w:jc w:val="both"/>
        <w:rPr>
          <w:rFonts w:cstheme="minorHAnsi"/>
        </w:rPr>
      </w:pPr>
      <w:r w:rsidRPr="0076508C">
        <w:rPr>
          <w:rFonts w:cstheme="minorHAnsi"/>
        </w:rPr>
        <w:t xml:space="preserve">The </w:t>
      </w:r>
      <w:r>
        <w:rPr>
          <w:rFonts w:cstheme="minorHAnsi"/>
        </w:rPr>
        <w:t>2020’s has been named as the decade of deliverance for sustainability because:</w:t>
      </w:r>
    </w:p>
    <w:p w14:paraId="6EDB14BC" w14:textId="0E803D69" w:rsidR="00787277" w:rsidRDefault="00787277" w:rsidP="00787277">
      <w:pPr>
        <w:pStyle w:val="ListParagraph"/>
        <w:numPr>
          <w:ilvl w:val="0"/>
          <w:numId w:val="29"/>
        </w:numPr>
        <w:jc w:val="both"/>
        <w:rPr>
          <w:rFonts w:cstheme="minorHAnsi"/>
        </w:rPr>
      </w:pPr>
      <w:r>
        <w:rPr>
          <w:rFonts w:cstheme="minorHAnsi"/>
        </w:rPr>
        <w:t>The</w:t>
      </w:r>
      <w:r w:rsidR="00982EB7">
        <w:rPr>
          <w:rFonts w:cstheme="minorHAnsi"/>
        </w:rPr>
        <w:t xml:space="preserve"> deadline to achieve the</w:t>
      </w:r>
      <w:r>
        <w:rPr>
          <w:rFonts w:cstheme="minorHAnsi"/>
        </w:rPr>
        <w:t xml:space="preserve"> </w:t>
      </w:r>
      <w:hyperlink r:id="rId11" w:history="1">
        <w:r w:rsidRPr="00982EB7">
          <w:rPr>
            <w:rStyle w:val="Hyperlink"/>
            <w:rFonts w:cstheme="minorHAnsi"/>
          </w:rPr>
          <w:t>UN Sustainable Development Goals</w:t>
        </w:r>
      </w:hyperlink>
      <w:r>
        <w:rPr>
          <w:rFonts w:cstheme="minorHAnsi"/>
        </w:rPr>
        <w:t xml:space="preserve"> </w:t>
      </w:r>
      <w:r w:rsidR="0062475B">
        <w:rPr>
          <w:rFonts w:cstheme="minorHAnsi"/>
        </w:rPr>
        <w:t>is</w:t>
      </w:r>
      <w:r>
        <w:rPr>
          <w:rFonts w:cstheme="minorHAnsi"/>
        </w:rPr>
        <w:t xml:space="preserve"> 2030</w:t>
      </w:r>
      <w:r w:rsidR="00982EB7">
        <w:rPr>
          <w:rFonts w:cstheme="minorHAnsi"/>
        </w:rPr>
        <w:t>.</w:t>
      </w:r>
    </w:p>
    <w:p w14:paraId="65B75A2B" w14:textId="77777777" w:rsidR="00787277" w:rsidRPr="0076508C" w:rsidRDefault="00787277" w:rsidP="00787277">
      <w:pPr>
        <w:pStyle w:val="ListParagraph"/>
        <w:numPr>
          <w:ilvl w:val="0"/>
          <w:numId w:val="29"/>
        </w:numPr>
        <w:jc w:val="both"/>
        <w:rPr>
          <w:rFonts w:cstheme="minorHAnsi"/>
        </w:rPr>
      </w:pPr>
      <w:r>
        <w:rPr>
          <w:rFonts w:cstheme="minorHAnsi"/>
        </w:rPr>
        <w:t>The IPCC has repeatedly warned that the coming years (to 2030) are the most crucial to cap the global temperature increase in the line with the 2015 Paris Agreement limit of below 2°C and ideally below 1.5°C</w:t>
      </w:r>
    </w:p>
    <w:p w14:paraId="460B16C9" w14:textId="77777777" w:rsidR="00787277" w:rsidRPr="0076508C" w:rsidRDefault="00787277" w:rsidP="00787277">
      <w:pPr>
        <w:jc w:val="both"/>
        <w:rPr>
          <w:rFonts w:cstheme="minorHAnsi"/>
        </w:rPr>
      </w:pPr>
    </w:p>
    <w:p w14:paraId="3275FDD4" w14:textId="77777777" w:rsidR="00787277" w:rsidRPr="00CD5CEE" w:rsidRDefault="00787277" w:rsidP="00787277">
      <w:pPr>
        <w:pStyle w:val="ListParagraph"/>
        <w:numPr>
          <w:ilvl w:val="1"/>
          <w:numId w:val="22"/>
        </w:numPr>
        <w:ind w:left="993" w:hanging="426"/>
        <w:jc w:val="both"/>
        <w:rPr>
          <w:rFonts w:cstheme="minorHAnsi"/>
          <w:b/>
          <w:bCs/>
        </w:rPr>
      </w:pPr>
      <w:r w:rsidRPr="00CD5CEE">
        <w:rPr>
          <w:rFonts w:cstheme="minorHAnsi"/>
          <w:b/>
          <w:bCs/>
        </w:rPr>
        <w:t>UK Government</w:t>
      </w:r>
    </w:p>
    <w:p w14:paraId="73977B90" w14:textId="19D15AFD" w:rsidR="00787277" w:rsidRDefault="00787277" w:rsidP="00787277">
      <w:pPr>
        <w:jc w:val="both"/>
        <w:rPr>
          <w:rFonts w:cstheme="minorHAnsi"/>
        </w:rPr>
      </w:pPr>
      <w:r w:rsidRPr="00CD5CEE">
        <w:rPr>
          <w:rFonts w:cstheme="minorHAnsi"/>
        </w:rPr>
        <w:t xml:space="preserve">The UK Government declared a Climate Emergency in May 2019 </w:t>
      </w:r>
      <w:r>
        <w:rPr>
          <w:rFonts w:cstheme="minorHAnsi"/>
        </w:rPr>
        <w:t xml:space="preserve">and increased the greenhouse gas reduction targets set within the Climate Change Act 2008 to achieve </w:t>
      </w:r>
      <w:hyperlink r:id="rId12" w:history="1">
        <w:r w:rsidRPr="00753EEE">
          <w:rPr>
            <w:rStyle w:val="Hyperlink"/>
            <w:rFonts w:cstheme="minorHAnsi"/>
          </w:rPr>
          <w:t>net zero</w:t>
        </w:r>
      </w:hyperlink>
      <w:r w:rsidRPr="00CD5CEE">
        <w:rPr>
          <w:rStyle w:val="FootnoteReference"/>
          <w:rFonts w:cstheme="minorHAnsi"/>
        </w:rPr>
        <w:footnoteReference w:id="1"/>
      </w:r>
      <w:r>
        <w:rPr>
          <w:rFonts w:cstheme="minorHAnsi"/>
        </w:rPr>
        <w:t xml:space="preserve"> </w:t>
      </w:r>
      <w:r w:rsidRPr="00CD5CEE">
        <w:rPr>
          <w:rFonts w:cstheme="minorHAnsi"/>
        </w:rPr>
        <w:t>by 2050</w:t>
      </w:r>
      <w:r>
        <w:rPr>
          <w:rFonts w:cstheme="minorHAnsi"/>
        </w:rPr>
        <w:t xml:space="preserve"> (previously an 80% reduction from a 2009 baseline)</w:t>
      </w:r>
      <w:r w:rsidR="00C97C4C">
        <w:rPr>
          <w:rFonts w:cstheme="minorHAnsi"/>
        </w:rPr>
        <w:t xml:space="preserve"> with an interim target of 68% reduction by 2030 on a 1990 baseline</w:t>
      </w:r>
      <w:r>
        <w:rPr>
          <w:rFonts w:cstheme="minorHAnsi"/>
        </w:rPr>
        <w:t>.</w:t>
      </w:r>
      <w:r w:rsidR="00C97C4C">
        <w:rPr>
          <w:rFonts w:cstheme="minorHAnsi"/>
        </w:rPr>
        <w:t xml:space="preserve">  Many government bodies, local authorities and public sector bodies have also declared climate emergencies and set net zero targets.</w:t>
      </w:r>
    </w:p>
    <w:p w14:paraId="156C4371" w14:textId="7F4F86F6" w:rsidR="00787277" w:rsidRDefault="00787277" w:rsidP="00787277">
      <w:pPr>
        <w:jc w:val="both"/>
        <w:rPr>
          <w:rFonts w:cstheme="minorHAnsi"/>
        </w:rPr>
      </w:pPr>
    </w:p>
    <w:p w14:paraId="28F999CF" w14:textId="59BF4E57" w:rsidR="002C1E60" w:rsidRDefault="002C1E60" w:rsidP="00787277">
      <w:pPr>
        <w:jc w:val="both"/>
        <w:rPr>
          <w:rFonts w:cstheme="minorHAnsi"/>
        </w:rPr>
      </w:pPr>
      <w:r>
        <w:rPr>
          <w:rFonts w:cstheme="minorHAnsi"/>
        </w:rPr>
        <w:t xml:space="preserve">The UK </w:t>
      </w:r>
      <w:r w:rsidR="001743FC">
        <w:rPr>
          <w:rFonts w:cstheme="minorHAnsi"/>
        </w:rPr>
        <w:t xml:space="preserve">Government </w:t>
      </w:r>
      <w:r>
        <w:rPr>
          <w:rFonts w:cstheme="minorHAnsi"/>
        </w:rPr>
        <w:t>has also released a number of Strategies and Plans (</w:t>
      </w:r>
      <w:r w:rsidR="00FD38A0">
        <w:rPr>
          <w:rFonts w:cstheme="minorHAnsi"/>
        </w:rPr>
        <w:t>including</w:t>
      </w:r>
      <w:r>
        <w:rPr>
          <w:rFonts w:cstheme="minorHAnsi"/>
        </w:rPr>
        <w:t xml:space="preserve"> the </w:t>
      </w:r>
      <w:r w:rsidR="00581128">
        <w:rPr>
          <w:rFonts w:cstheme="minorHAnsi"/>
        </w:rPr>
        <w:t xml:space="preserve">draft Sustainability and Climate Change strategy for the education and children’s services systems; the </w:t>
      </w:r>
      <w:r>
        <w:rPr>
          <w:rFonts w:cstheme="minorHAnsi"/>
        </w:rPr>
        <w:t>Industrial Strategy</w:t>
      </w:r>
      <w:r w:rsidR="00581128">
        <w:rPr>
          <w:rFonts w:cstheme="minorHAnsi"/>
        </w:rPr>
        <w:t>;</w:t>
      </w:r>
      <w:r>
        <w:rPr>
          <w:rFonts w:cstheme="minorHAnsi"/>
        </w:rPr>
        <w:t xml:space="preserve"> Clean Growth Strategy 2017</w:t>
      </w:r>
      <w:r w:rsidR="00581128">
        <w:rPr>
          <w:rFonts w:cstheme="minorHAnsi"/>
        </w:rPr>
        <w:t>;</w:t>
      </w:r>
      <w:r w:rsidR="003D7B28">
        <w:rPr>
          <w:rFonts w:cstheme="minorHAnsi"/>
        </w:rPr>
        <w:t xml:space="preserve"> National Procurement Policy Statement</w:t>
      </w:r>
      <w:r>
        <w:rPr>
          <w:rFonts w:cstheme="minorHAnsi"/>
        </w:rPr>
        <w:t xml:space="preserve"> and A Green Future: Our 25</w:t>
      </w:r>
      <w:r w:rsidR="005059AE">
        <w:rPr>
          <w:rFonts w:cstheme="minorHAnsi"/>
        </w:rPr>
        <w:t>-</w:t>
      </w:r>
      <w:r>
        <w:rPr>
          <w:rFonts w:cstheme="minorHAnsi"/>
        </w:rPr>
        <w:t>year plan to improve the environment) which all encourage and support homes, businesses and industrial operations to minimise their carbon footprint and improve their wider environmental impact in a variety of ways.  A major focus of th</w:t>
      </w:r>
      <w:r w:rsidR="001743FC">
        <w:rPr>
          <w:rFonts w:cstheme="minorHAnsi"/>
        </w:rPr>
        <w:t>ese</w:t>
      </w:r>
      <w:r>
        <w:rPr>
          <w:rFonts w:cstheme="minorHAnsi"/>
        </w:rPr>
        <w:t xml:space="preserve"> is embracing cleaner and greener fuels</w:t>
      </w:r>
      <w:r w:rsidR="001743FC">
        <w:rPr>
          <w:rFonts w:cstheme="minorHAnsi"/>
        </w:rPr>
        <w:t xml:space="preserve">, </w:t>
      </w:r>
      <w:r w:rsidR="00EE02AC">
        <w:rPr>
          <w:rFonts w:cstheme="minorHAnsi"/>
        </w:rPr>
        <w:t xml:space="preserve">decarbonising the electricity supply and </w:t>
      </w:r>
      <w:r w:rsidR="002F281A">
        <w:rPr>
          <w:rFonts w:cstheme="minorHAnsi"/>
        </w:rPr>
        <w:t xml:space="preserve">the </w:t>
      </w:r>
      <w:r w:rsidR="00EE02AC">
        <w:rPr>
          <w:rFonts w:cstheme="minorHAnsi"/>
        </w:rPr>
        <w:t>electrification of heat.</w:t>
      </w:r>
    </w:p>
    <w:p w14:paraId="1AE9595E" w14:textId="19C26510" w:rsidR="00787277" w:rsidRDefault="00787277" w:rsidP="00787277">
      <w:pPr>
        <w:jc w:val="both"/>
        <w:rPr>
          <w:rFonts w:cstheme="minorHAnsi"/>
        </w:rPr>
      </w:pPr>
    </w:p>
    <w:p w14:paraId="51ABCEB5" w14:textId="4F11605F" w:rsidR="006E3EDE" w:rsidRDefault="006E3EDE" w:rsidP="00787277">
      <w:pPr>
        <w:jc w:val="both"/>
        <w:rPr>
          <w:rFonts w:cstheme="minorHAnsi"/>
        </w:rPr>
      </w:pPr>
      <w:r>
        <w:rPr>
          <w:rFonts w:cstheme="minorHAnsi"/>
        </w:rPr>
        <w:t>Other Government regulatory drivers include the EU Energy Performance of Buildings Directive; Building Regulations Part L; Climate Change Levy and other taxes and levies;</w:t>
      </w:r>
      <w:r w:rsidR="001358F9">
        <w:rPr>
          <w:rFonts w:cstheme="minorHAnsi"/>
        </w:rPr>
        <w:t xml:space="preserve"> and</w:t>
      </w:r>
      <w:r>
        <w:rPr>
          <w:rFonts w:cstheme="minorHAnsi"/>
        </w:rPr>
        <w:t xml:space="preserve"> Streamlined Energy and Carbon Reporting.  </w:t>
      </w:r>
    </w:p>
    <w:p w14:paraId="647231F4" w14:textId="77777777" w:rsidR="006E3EDE" w:rsidRDefault="006E3EDE" w:rsidP="00787277">
      <w:pPr>
        <w:jc w:val="both"/>
        <w:rPr>
          <w:rFonts w:cstheme="minorHAnsi"/>
        </w:rPr>
      </w:pPr>
    </w:p>
    <w:p w14:paraId="3D4BA5D2" w14:textId="77777777" w:rsidR="00787277" w:rsidRPr="00CD5CEE" w:rsidRDefault="00787277" w:rsidP="00787277">
      <w:pPr>
        <w:pStyle w:val="ListParagraph"/>
        <w:numPr>
          <w:ilvl w:val="1"/>
          <w:numId w:val="22"/>
        </w:numPr>
        <w:ind w:left="993" w:hanging="426"/>
        <w:jc w:val="both"/>
        <w:rPr>
          <w:rFonts w:cstheme="minorHAnsi"/>
          <w:b/>
          <w:bCs/>
        </w:rPr>
      </w:pPr>
      <w:r>
        <w:rPr>
          <w:rFonts w:cstheme="minorHAnsi"/>
          <w:b/>
          <w:bCs/>
        </w:rPr>
        <w:t>Local Government</w:t>
      </w:r>
    </w:p>
    <w:p w14:paraId="1A254634" w14:textId="77777777" w:rsidR="00787277" w:rsidRDefault="00787277" w:rsidP="00787277">
      <w:pPr>
        <w:jc w:val="both"/>
        <w:rPr>
          <w:rFonts w:cstheme="minorHAnsi"/>
        </w:rPr>
      </w:pPr>
      <w:r>
        <w:rPr>
          <w:rFonts w:cstheme="minorHAnsi"/>
        </w:rPr>
        <w:t xml:space="preserve">The Liverpool City Region declared it would achieve net zero by 2040 and Liverpool City Council by 2030.  </w:t>
      </w:r>
    </w:p>
    <w:p w14:paraId="2302F55C" w14:textId="77777777" w:rsidR="00787277" w:rsidRPr="00CD5CEE" w:rsidRDefault="00787277" w:rsidP="00787277">
      <w:pPr>
        <w:jc w:val="both"/>
        <w:rPr>
          <w:rFonts w:cstheme="minorHAnsi"/>
        </w:rPr>
      </w:pPr>
    </w:p>
    <w:p w14:paraId="438B944D" w14:textId="31163EAA" w:rsidR="00787277" w:rsidRDefault="00787277" w:rsidP="00787277">
      <w:pPr>
        <w:pStyle w:val="ListParagraph"/>
        <w:numPr>
          <w:ilvl w:val="1"/>
          <w:numId w:val="22"/>
        </w:numPr>
        <w:ind w:left="993" w:hanging="426"/>
        <w:jc w:val="both"/>
        <w:rPr>
          <w:rFonts w:cstheme="minorHAnsi"/>
          <w:b/>
          <w:bCs/>
        </w:rPr>
      </w:pPr>
      <w:r w:rsidRPr="00CD5CEE">
        <w:rPr>
          <w:rFonts w:cstheme="minorHAnsi"/>
          <w:b/>
          <w:bCs/>
        </w:rPr>
        <w:t xml:space="preserve">Sector </w:t>
      </w:r>
    </w:p>
    <w:p w14:paraId="12881A1A" w14:textId="2B888EA4" w:rsidR="007919DB" w:rsidRPr="00CD5CEE" w:rsidRDefault="007919DB" w:rsidP="007919DB">
      <w:pPr>
        <w:jc w:val="both"/>
        <w:rPr>
          <w:rFonts w:cstheme="minorHAnsi"/>
        </w:rPr>
      </w:pPr>
      <w:r w:rsidRPr="0062475B">
        <w:rPr>
          <w:rFonts w:cstheme="minorHAnsi"/>
          <w:b/>
          <w:bCs/>
        </w:rPr>
        <w:t>Office for Students / HEFCE</w:t>
      </w:r>
      <w:r>
        <w:rPr>
          <w:rFonts w:cstheme="minorHAnsi"/>
        </w:rPr>
        <w:t xml:space="preserve">.  </w:t>
      </w:r>
      <w:r w:rsidRPr="00CD5CEE">
        <w:rPr>
          <w:rFonts w:cstheme="minorHAnsi"/>
        </w:rPr>
        <w:t>HEFCE, the Office for Students (</w:t>
      </w:r>
      <w:proofErr w:type="spellStart"/>
      <w:r w:rsidRPr="00CD5CEE">
        <w:rPr>
          <w:rFonts w:cstheme="minorHAnsi"/>
        </w:rPr>
        <w:t>OfS</w:t>
      </w:r>
      <w:proofErr w:type="spellEnd"/>
      <w:r w:rsidRPr="00CD5CEE">
        <w:rPr>
          <w:rFonts w:cstheme="minorHAnsi"/>
        </w:rPr>
        <w:t>) predecessor, saw the impact of the sector on the environment as a key responsibility and set sector carbon reduction targets (48% reduction in Scope 1 and 2 emissions by 2020 from a 2005 baseline</w:t>
      </w:r>
      <w:r>
        <w:rPr>
          <w:rFonts w:cstheme="minorHAnsi"/>
        </w:rPr>
        <w:t>, though each University was able to set its own reduction target</w:t>
      </w:r>
      <w:r w:rsidRPr="00CD5CEE">
        <w:rPr>
          <w:rFonts w:cstheme="minorHAnsi"/>
        </w:rPr>
        <w:t xml:space="preserve">).  However, when the </w:t>
      </w:r>
      <w:proofErr w:type="spellStart"/>
      <w:r w:rsidRPr="00CD5CEE">
        <w:rPr>
          <w:rFonts w:cstheme="minorHAnsi"/>
        </w:rPr>
        <w:t>OfS</w:t>
      </w:r>
      <w:proofErr w:type="spellEnd"/>
      <w:r w:rsidRPr="00CD5CEE">
        <w:rPr>
          <w:rFonts w:cstheme="minorHAnsi"/>
        </w:rPr>
        <w:t xml:space="preserve"> was formed in 2018 they stated that measures on sustainability were not part of their statutory function and that their regulatory remit and powers did not specifically require the </w:t>
      </w:r>
      <w:proofErr w:type="spellStart"/>
      <w:r w:rsidRPr="00CD5CEE">
        <w:rPr>
          <w:rFonts w:cstheme="minorHAnsi"/>
        </w:rPr>
        <w:t>OfS</w:t>
      </w:r>
      <w:proofErr w:type="spellEnd"/>
      <w:r w:rsidRPr="00CD5CEE">
        <w:rPr>
          <w:rFonts w:cstheme="minorHAnsi"/>
        </w:rPr>
        <w:t xml:space="preserve"> to </w:t>
      </w:r>
      <w:r w:rsidR="0088415C">
        <w:rPr>
          <w:rFonts w:cstheme="minorHAnsi"/>
        </w:rPr>
        <w:t>act</w:t>
      </w:r>
      <w:r w:rsidRPr="00CD5CEE">
        <w:rPr>
          <w:rFonts w:cstheme="minorHAnsi"/>
        </w:rPr>
        <w:t xml:space="preserve"> to address the sector’s carbon emissions or set an emissions reduction target.  However, in January 2020, they acknowledged that they should act on carbon </w:t>
      </w:r>
      <w:r w:rsidRPr="00CD5CEE">
        <w:rPr>
          <w:rFonts w:cstheme="minorHAnsi"/>
        </w:rPr>
        <w:lastRenderedPageBreak/>
        <w:t xml:space="preserve">emissions and recommended that the board agrees to support registered providers to meet the targets set by the Climate Commission (below).  </w:t>
      </w:r>
    </w:p>
    <w:p w14:paraId="0A5E04C8" w14:textId="77777777" w:rsidR="007919DB" w:rsidRDefault="007919DB" w:rsidP="007919DB">
      <w:pPr>
        <w:jc w:val="both"/>
        <w:rPr>
          <w:rFonts w:cstheme="minorHAnsi"/>
        </w:rPr>
      </w:pPr>
    </w:p>
    <w:p w14:paraId="53EA1C03" w14:textId="77777777" w:rsidR="007919DB" w:rsidRPr="00CD5CEE" w:rsidRDefault="007919DB" w:rsidP="007919DB">
      <w:pPr>
        <w:jc w:val="both"/>
        <w:rPr>
          <w:rFonts w:cstheme="minorHAnsi"/>
        </w:rPr>
      </w:pPr>
      <w:r w:rsidRPr="00CD5CEE">
        <w:rPr>
          <w:rFonts w:cstheme="minorHAnsi"/>
        </w:rPr>
        <w:t xml:space="preserve">The </w:t>
      </w:r>
      <w:proofErr w:type="spellStart"/>
      <w:r w:rsidRPr="00CD5CEE">
        <w:rPr>
          <w:rFonts w:cstheme="minorHAnsi"/>
        </w:rPr>
        <w:t>OfS</w:t>
      </w:r>
      <w:proofErr w:type="spellEnd"/>
      <w:r w:rsidRPr="00CD5CEE">
        <w:rPr>
          <w:rFonts w:cstheme="minorHAnsi"/>
        </w:rPr>
        <w:t xml:space="preserve"> also noted that ‘pressure to tackle emissions will only increase, from students and the public, as the effects of climate change became more evident’ and that as the Government had committed to net-zero by 2050 it is likely that the recent lack of political attention on H</w:t>
      </w:r>
      <w:r>
        <w:rPr>
          <w:rFonts w:cstheme="minorHAnsi"/>
        </w:rPr>
        <w:t xml:space="preserve">igher </w:t>
      </w:r>
      <w:r w:rsidRPr="00CD5CEE">
        <w:rPr>
          <w:rFonts w:cstheme="minorHAnsi"/>
        </w:rPr>
        <w:t>E</w:t>
      </w:r>
      <w:r>
        <w:rPr>
          <w:rFonts w:cstheme="minorHAnsi"/>
        </w:rPr>
        <w:t>ducation</w:t>
      </w:r>
      <w:r w:rsidRPr="00CD5CEE">
        <w:rPr>
          <w:rFonts w:cstheme="minorHAnsi"/>
        </w:rPr>
        <w:t xml:space="preserve"> emissions would not continue.</w:t>
      </w:r>
    </w:p>
    <w:p w14:paraId="57417123" w14:textId="77777777" w:rsidR="007919DB" w:rsidRPr="00CD5CEE" w:rsidRDefault="007919DB" w:rsidP="007919DB">
      <w:pPr>
        <w:jc w:val="both"/>
        <w:rPr>
          <w:rFonts w:cstheme="minorHAnsi"/>
        </w:rPr>
      </w:pPr>
    </w:p>
    <w:p w14:paraId="049E2196" w14:textId="77777777" w:rsidR="007919DB" w:rsidRPr="00CD5CEE" w:rsidRDefault="007919DB" w:rsidP="007919DB">
      <w:pPr>
        <w:jc w:val="both"/>
        <w:rPr>
          <w:rFonts w:cstheme="minorHAnsi"/>
        </w:rPr>
      </w:pPr>
      <w:r w:rsidRPr="0062475B">
        <w:rPr>
          <w:rFonts w:cstheme="minorHAnsi"/>
          <w:b/>
          <w:bCs/>
        </w:rPr>
        <w:t>Climate Commission</w:t>
      </w:r>
      <w:r>
        <w:rPr>
          <w:rFonts w:cstheme="minorHAnsi"/>
        </w:rPr>
        <w:t xml:space="preserve">.  </w:t>
      </w:r>
      <w:r w:rsidRPr="00CD5CEE">
        <w:rPr>
          <w:rFonts w:cstheme="minorHAnsi"/>
        </w:rPr>
        <w:t>The Climate Commission (a partnership between the Association of Colleges, EAUC (Alliance for Sustainability Leadership in Education), Guild HE and Universities UK) was launched in November 2019, following the UK’s net-zero greenhouse gas emissions reduction target, to catalyse action to create real impact and drive change within the Sector.  In January 2020, the Commission agreed its vision and mission and released a target statement detailing a clear way ahead:</w:t>
      </w:r>
    </w:p>
    <w:p w14:paraId="417B311D" w14:textId="77777777" w:rsidR="007919DB" w:rsidRPr="00CD5CEE" w:rsidRDefault="007919DB" w:rsidP="007919DB">
      <w:pPr>
        <w:pStyle w:val="ListParagraph"/>
        <w:numPr>
          <w:ilvl w:val="0"/>
          <w:numId w:val="28"/>
        </w:numPr>
        <w:ind w:left="426" w:hanging="426"/>
        <w:jc w:val="both"/>
        <w:rPr>
          <w:rFonts w:cstheme="minorHAnsi"/>
          <w:bCs/>
        </w:rPr>
      </w:pPr>
      <w:r w:rsidRPr="00CD5CEE">
        <w:rPr>
          <w:rFonts w:cstheme="minorHAnsi"/>
          <w:bCs/>
        </w:rPr>
        <w:t>Aim for net-zero greenhouse gas emissions for Scope 1 and 2 by 2030, as per IPCC recommendations, as a minimum;</w:t>
      </w:r>
    </w:p>
    <w:p w14:paraId="2E17F32A" w14:textId="77777777" w:rsidR="007919DB" w:rsidRPr="00CD5CEE" w:rsidRDefault="007919DB" w:rsidP="007919DB">
      <w:pPr>
        <w:pStyle w:val="ListParagraph"/>
        <w:numPr>
          <w:ilvl w:val="0"/>
          <w:numId w:val="28"/>
        </w:numPr>
        <w:ind w:left="426" w:hanging="426"/>
        <w:jc w:val="both"/>
        <w:rPr>
          <w:rFonts w:cstheme="minorHAnsi"/>
          <w:bCs/>
        </w:rPr>
      </w:pPr>
      <w:r w:rsidRPr="00CD5CEE">
        <w:rPr>
          <w:rFonts w:cstheme="minorHAnsi"/>
          <w:bCs/>
        </w:rPr>
        <w:t>Significant sector actions towards reducing Scope 3 emissions within this timeframe.  A first step should be to understand sector scope 3 emissions and develop a framework that can be used as a basis for understanding the current baseline and establishing a meaningful target;</w:t>
      </w:r>
    </w:p>
    <w:p w14:paraId="67D84CA0" w14:textId="77777777" w:rsidR="007919DB" w:rsidRPr="00CD5CEE" w:rsidRDefault="007919DB" w:rsidP="007919DB">
      <w:pPr>
        <w:pStyle w:val="ListParagraph"/>
        <w:numPr>
          <w:ilvl w:val="0"/>
          <w:numId w:val="28"/>
        </w:numPr>
        <w:ind w:left="426" w:hanging="426"/>
        <w:jc w:val="both"/>
        <w:rPr>
          <w:rFonts w:cstheme="minorHAnsi"/>
          <w:bCs/>
        </w:rPr>
      </w:pPr>
      <w:r w:rsidRPr="00CD5CEE">
        <w:rPr>
          <w:rFonts w:cstheme="minorHAnsi"/>
          <w:bCs/>
        </w:rPr>
        <w:t>Net-zero greenhouse gas emissions should be achieved no later than 2050 (or as per devolved Government target).</w:t>
      </w:r>
    </w:p>
    <w:p w14:paraId="70008311" w14:textId="48BF134B" w:rsidR="007919DB" w:rsidRDefault="00C97C4C" w:rsidP="007919DB">
      <w:pPr>
        <w:jc w:val="both"/>
        <w:rPr>
          <w:rFonts w:cstheme="minorHAnsi"/>
        </w:rPr>
      </w:pPr>
      <w:r>
        <w:rPr>
          <w:rFonts w:cstheme="minorHAnsi"/>
        </w:rPr>
        <w:t xml:space="preserve">The Climate Commission released a FE toolkit in June 2020 and a HE toolkit in February 2021 to provide actions required within the sector to advance sustainability and reduce carbon emissions.  </w:t>
      </w:r>
    </w:p>
    <w:p w14:paraId="755ADEBC" w14:textId="77777777" w:rsidR="00C97C4C" w:rsidRPr="00CD5CEE" w:rsidRDefault="00C97C4C" w:rsidP="007919DB">
      <w:pPr>
        <w:jc w:val="both"/>
        <w:rPr>
          <w:rFonts w:cstheme="minorHAnsi"/>
        </w:rPr>
      </w:pPr>
    </w:p>
    <w:p w14:paraId="62A657F5" w14:textId="31569943" w:rsidR="00C97C4C" w:rsidRDefault="00C97C4C" w:rsidP="00FD38A0">
      <w:pPr>
        <w:jc w:val="both"/>
      </w:pPr>
      <w:r>
        <w:rPr>
          <w:b/>
        </w:rPr>
        <w:t>Universities UK.</w:t>
      </w:r>
      <w:r>
        <w:t xml:space="preserve">  In April 2021, the Universities UK held roundtables exploring the adoption of the Climate Commission’s recommendations into their policy position.</w:t>
      </w:r>
    </w:p>
    <w:p w14:paraId="67629202" w14:textId="77777777" w:rsidR="00C97C4C" w:rsidRDefault="00C97C4C" w:rsidP="00FD38A0">
      <w:pPr>
        <w:jc w:val="both"/>
        <w:rPr>
          <w:b/>
        </w:rPr>
      </w:pPr>
    </w:p>
    <w:p w14:paraId="712FBBE9" w14:textId="243A307B" w:rsidR="00FD38A0" w:rsidRDefault="00FD38A0" w:rsidP="00FD38A0">
      <w:pPr>
        <w:jc w:val="both"/>
        <w:rPr>
          <w:bCs/>
        </w:rPr>
      </w:pPr>
      <w:r>
        <w:rPr>
          <w:b/>
        </w:rPr>
        <w:t xml:space="preserve">Diamond and </w:t>
      </w:r>
      <w:proofErr w:type="spellStart"/>
      <w:r>
        <w:rPr>
          <w:b/>
        </w:rPr>
        <w:t>Wakeham</w:t>
      </w:r>
      <w:proofErr w:type="spellEnd"/>
      <w:r>
        <w:rPr>
          <w:b/>
        </w:rPr>
        <w:t xml:space="preserve"> Review.  </w:t>
      </w:r>
      <w:r>
        <w:rPr>
          <w:bCs/>
        </w:rPr>
        <w:t xml:space="preserve">These reviews examine and promote efficiencies with the Higher Education Sector.  Phase 2 of the Diamond Review provided an agenda and a set of high-level commitments for achieving efficiency, effectiveness and </w:t>
      </w:r>
      <w:r w:rsidR="00D7268C">
        <w:rPr>
          <w:bCs/>
        </w:rPr>
        <w:t>v</w:t>
      </w:r>
      <w:r>
        <w:rPr>
          <w:bCs/>
        </w:rPr>
        <w:t xml:space="preserve">alue for </w:t>
      </w:r>
      <w:r w:rsidR="00D7268C">
        <w:rPr>
          <w:bCs/>
        </w:rPr>
        <w:t>m</w:t>
      </w:r>
      <w:r>
        <w:rPr>
          <w:bCs/>
        </w:rPr>
        <w:t>oney i.e. making every pound of the public’s money count.</w:t>
      </w:r>
    </w:p>
    <w:p w14:paraId="357EB22C" w14:textId="77777777" w:rsidR="00FD38A0" w:rsidRDefault="00FD38A0" w:rsidP="00FD38A0">
      <w:pPr>
        <w:jc w:val="both"/>
        <w:rPr>
          <w:bCs/>
        </w:rPr>
      </w:pPr>
    </w:p>
    <w:p w14:paraId="5EB1276C" w14:textId="1E44E230" w:rsidR="007919DB" w:rsidRDefault="007919DB" w:rsidP="007919DB">
      <w:pPr>
        <w:jc w:val="both"/>
        <w:rPr>
          <w:rFonts w:cstheme="minorHAnsi"/>
        </w:rPr>
      </w:pPr>
      <w:r w:rsidRPr="0062475B">
        <w:rPr>
          <w:rFonts w:cstheme="minorHAnsi"/>
          <w:b/>
          <w:bCs/>
        </w:rPr>
        <w:t>Students Organising for Sustainability</w:t>
      </w:r>
      <w:r>
        <w:rPr>
          <w:rFonts w:cstheme="minorHAnsi"/>
        </w:rPr>
        <w:t>.  The SOS (Students Organising for Sustainability – NUS’s Sustainability group) released a statement of expectation in September 2020 that all UK Universities commit to achieving net zero for all Scope 1, 2 and 3 emissions by 203</w:t>
      </w:r>
      <w:r w:rsidR="001358F9">
        <w:rPr>
          <w:rFonts w:cstheme="minorHAnsi"/>
        </w:rPr>
        <w:t>0</w:t>
      </w:r>
      <w:r>
        <w:rPr>
          <w:rFonts w:cstheme="minorHAnsi"/>
        </w:rPr>
        <w:t>.  They are currently leading on a new University and Colleges reduction targets ranking.</w:t>
      </w:r>
    </w:p>
    <w:p w14:paraId="4D424B00" w14:textId="77777777" w:rsidR="007919DB" w:rsidRDefault="007919DB" w:rsidP="007919DB">
      <w:pPr>
        <w:jc w:val="both"/>
        <w:rPr>
          <w:b/>
        </w:rPr>
      </w:pPr>
    </w:p>
    <w:p w14:paraId="5207F605" w14:textId="6D8C7B94" w:rsidR="007919DB" w:rsidRDefault="007919DB" w:rsidP="007919DB">
      <w:pPr>
        <w:jc w:val="both"/>
        <w:rPr>
          <w:bCs/>
        </w:rPr>
      </w:pPr>
      <w:r w:rsidRPr="0062475B">
        <w:rPr>
          <w:b/>
        </w:rPr>
        <w:t>Student requirements</w:t>
      </w:r>
      <w:r>
        <w:rPr>
          <w:bCs/>
        </w:rPr>
        <w:t xml:space="preserve">.  </w:t>
      </w:r>
      <w:r w:rsidR="00FD38A0">
        <w:rPr>
          <w:bCs/>
        </w:rPr>
        <w:t>Students are growing up in an era where sustainability and climate action is high profile and increasingly influential and they are becoming more knowledgeable and passionate about making change happen.  S</w:t>
      </w:r>
      <w:r>
        <w:rPr>
          <w:bCs/>
        </w:rPr>
        <w:t>tudies by the Higher Education Academy and the NUS have repeatedly shown that UK students want sustainability to be reflected in their institution, their studies and in their overall University experience.  The</w:t>
      </w:r>
      <w:r w:rsidR="0088415C">
        <w:rPr>
          <w:bCs/>
        </w:rPr>
        <w:t xml:space="preserve"> 2019-2020 survey</w:t>
      </w:r>
      <w:r>
        <w:rPr>
          <w:bCs/>
        </w:rPr>
        <w:t xml:space="preserve"> found </w:t>
      </w:r>
      <w:r w:rsidR="0088415C">
        <w:rPr>
          <w:bCs/>
        </w:rPr>
        <w:t>91</w:t>
      </w:r>
      <w:r>
        <w:rPr>
          <w:bCs/>
        </w:rPr>
        <w:t xml:space="preserve">% of first-year students think that Universities should actively incorporate and promote sustainability; </w:t>
      </w:r>
      <w:r w:rsidR="0088415C">
        <w:rPr>
          <w:bCs/>
        </w:rPr>
        <w:t xml:space="preserve">and </w:t>
      </w:r>
      <w:r>
        <w:rPr>
          <w:bCs/>
        </w:rPr>
        <w:t xml:space="preserve">around </w:t>
      </w:r>
      <w:r w:rsidR="0088415C">
        <w:rPr>
          <w:bCs/>
        </w:rPr>
        <w:t>65</w:t>
      </w:r>
      <w:r>
        <w:rPr>
          <w:bCs/>
        </w:rPr>
        <w:t>% want to learn more about it (integrated into the curriculum rather than standalone content or courses)</w:t>
      </w:r>
      <w:r w:rsidR="0088415C">
        <w:rPr>
          <w:bCs/>
        </w:rPr>
        <w:t>.</w:t>
      </w:r>
    </w:p>
    <w:p w14:paraId="594E1F5F" w14:textId="190E23DD" w:rsidR="007919DB" w:rsidRDefault="007919DB" w:rsidP="007919DB">
      <w:pPr>
        <w:jc w:val="both"/>
        <w:rPr>
          <w:rFonts w:cstheme="minorHAnsi"/>
          <w:b/>
          <w:bCs/>
        </w:rPr>
      </w:pPr>
    </w:p>
    <w:p w14:paraId="4E8294C0" w14:textId="734D9A85" w:rsidR="006E3EDE" w:rsidRDefault="006E3EDE" w:rsidP="006E3EDE">
      <w:pPr>
        <w:ind w:left="1134" w:hanging="425"/>
        <w:jc w:val="both"/>
        <w:rPr>
          <w:rFonts w:cstheme="minorHAnsi"/>
          <w:b/>
          <w:bCs/>
        </w:rPr>
      </w:pPr>
      <w:r>
        <w:rPr>
          <w:rFonts w:cstheme="minorHAnsi"/>
          <w:b/>
          <w:bCs/>
        </w:rPr>
        <w:t>c. Internal Drivers</w:t>
      </w:r>
    </w:p>
    <w:p w14:paraId="19EBA059" w14:textId="36925B7C" w:rsidR="007613D1" w:rsidRPr="007613D1" w:rsidRDefault="006E3EDE" w:rsidP="007613D1">
      <w:pPr>
        <w:jc w:val="both"/>
        <w:rPr>
          <w:rFonts w:cstheme="minorHAnsi"/>
          <w:bCs/>
        </w:rPr>
      </w:pPr>
      <w:r w:rsidRPr="007613D1">
        <w:rPr>
          <w:rFonts w:cstheme="minorHAnsi"/>
          <w:bCs/>
        </w:rPr>
        <w:t xml:space="preserve">Operating in a sustainable manner is a core part of the University’s Mission and Values and its Corporate Plan states that </w:t>
      </w:r>
      <w:r w:rsidR="007613D1" w:rsidRPr="007613D1">
        <w:rPr>
          <w:rFonts w:cstheme="minorHAnsi"/>
          <w:bCs/>
        </w:rPr>
        <w:t>“</w:t>
      </w:r>
      <w:r w:rsidR="007613D1" w:rsidRPr="007613D1">
        <w:t>The University will redouble its efforts to reduce the University’s carbon footprint and plan its Estates developments within an environmentally viable framework that contributes towards a sustainable future”.</w:t>
      </w:r>
      <w:r w:rsidR="007613D1">
        <w:t xml:space="preserve">  To improve the University’s Corporate </w:t>
      </w:r>
      <w:r w:rsidR="004D25DC">
        <w:t>p</w:t>
      </w:r>
      <w:r w:rsidR="007613D1">
        <w:t>rofile and increase its profile in league tables such as People and Planet’s University ‘green’ League; continue to meet the expectations of staff and students; and improve organisational resilience, reducing reliance on externally supplied energy and reducing spend on utilities which can be more prudently spent on enhancing the student (and staff) experience.</w:t>
      </w:r>
    </w:p>
    <w:p w14:paraId="7F32DF33" w14:textId="77777777" w:rsidR="006E3EDE" w:rsidRDefault="006E3EDE" w:rsidP="006E3EDE">
      <w:pPr>
        <w:jc w:val="both"/>
        <w:rPr>
          <w:rFonts w:cstheme="minorHAnsi"/>
          <w:b/>
          <w:bCs/>
        </w:rPr>
      </w:pPr>
    </w:p>
    <w:p w14:paraId="75EDDD69" w14:textId="26C8F5B5" w:rsidR="000D480A" w:rsidRPr="007F4668" w:rsidRDefault="007F4668" w:rsidP="007F4668">
      <w:pPr>
        <w:pStyle w:val="ListParagraph"/>
        <w:numPr>
          <w:ilvl w:val="0"/>
          <w:numId w:val="1"/>
        </w:numPr>
        <w:jc w:val="both"/>
        <w:rPr>
          <w:b/>
        </w:rPr>
      </w:pPr>
      <w:r w:rsidRPr="007F4668">
        <w:rPr>
          <w:b/>
        </w:rPr>
        <w:t xml:space="preserve">CARBON </w:t>
      </w:r>
      <w:r w:rsidR="00692773">
        <w:rPr>
          <w:b/>
        </w:rPr>
        <w:t>EMISSIONS</w:t>
      </w:r>
    </w:p>
    <w:p w14:paraId="4154044C" w14:textId="77777777" w:rsidR="00CE2A15" w:rsidRDefault="00CE2A15" w:rsidP="006408D4">
      <w:pPr>
        <w:jc w:val="both"/>
      </w:pPr>
    </w:p>
    <w:p w14:paraId="697CA90D" w14:textId="5D16DB98" w:rsidR="001D178C" w:rsidRDefault="001D178C" w:rsidP="006408D4">
      <w:pPr>
        <w:jc w:val="both"/>
      </w:pPr>
      <w:r>
        <w:t>Collecting data and calculating the associated carbon emissions</w:t>
      </w:r>
      <w:r>
        <w:rPr>
          <w:rStyle w:val="FootnoteReference"/>
        </w:rPr>
        <w:footnoteReference w:id="2"/>
      </w:r>
      <w:r>
        <w:t xml:space="preserve"> enables the University to understand its carbon contribution, and to measure its reduction performance as carbon saving </w:t>
      </w:r>
      <w:r w:rsidR="004D25DC">
        <w:t>projects/</w:t>
      </w:r>
      <w:r>
        <w:t xml:space="preserve">initiatives are implemented.  </w:t>
      </w:r>
    </w:p>
    <w:p w14:paraId="7481C2B9" w14:textId="77777777" w:rsidR="00F85820" w:rsidRDefault="00F85820" w:rsidP="00F85820">
      <w:pPr>
        <w:jc w:val="both"/>
      </w:pPr>
    </w:p>
    <w:p w14:paraId="00BEE29C" w14:textId="2D4E92D2" w:rsidR="00F85820" w:rsidRDefault="00F85820" w:rsidP="00F85820">
      <w:pPr>
        <w:jc w:val="both"/>
      </w:pPr>
      <w:r w:rsidRPr="003B1A06">
        <w:t>The University’s</w:t>
      </w:r>
      <w:r>
        <w:t xml:space="preserve"> carbon emissions cover all residential and non-residential buildings and grounds; but excludes the houses which the University owns but rents out.</w:t>
      </w:r>
      <w:r w:rsidR="0047609E">
        <w:t xml:space="preserve">  All data is presented in tonnes of CO</w:t>
      </w:r>
      <w:r w:rsidR="0047609E">
        <w:rPr>
          <w:vertAlign w:val="subscript"/>
        </w:rPr>
        <w:t>2</w:t>
      </w:r>
      <w:r w:rsidR="0047609E">
        <w:t>e</w:t>
      </w:r>
      <w:r w:rsidR="00B5066B">
        <w:t xml:space="preserve">; </w:t>
      </w:r>
      <w:r w:rsidR="00D318AC">
        <w:t>CO</w:t>
      </w:r>
      <w:r w:rsidR="00D318AC">
        <w:rPr>
          <w:vertAlign w:val="subscript"/>
        </w:rPr>
        <w:t>2</w:t>
      </w:r>
      <w:r w:rsidR="00D318AC">
        <w:t>e is the universal unit of measurement to indicate the global warming potential of greenhouse gases</w:t>
      </w:r>
      <w:r w:rsidR="0007013E">
        <w:rPr>
          <w:rStyle w:val="FootnoteReference"/>
        </w:rPr>
        <w:footnoteReference w:id="3"/>
      </w:r>
      <w:r w:rsidR="00D318AC">
        <w:t>.  The University’s carbon emissions are defined by Scopes as follows:</w:t>
      </w:r>
    </w:p>
    <w:p w14:paraId="668B831F" w14:textId="6E95A8D3" w:rsidR="00D318AC" w:rsidRDefault="00D318AC" w:rsidP="00D318AC">
      <w:pPr>
        <w:pStyle w:val="FootnoteText"/>
        <w:numPr>
          <w:ilvl w:val="0"/>
          <w:numId w:val="35"/>
        </w:numPr>
        <w:ind w:right="-24"/>
        <w:jc w:val="both"/>
        <w:rPr>
          <w:sz w:val="22"/>
          <w:szCs w:val="22"/>
        </w:rPr>
      </w:pPr>
      <w:r w:rsidRPr="00717BFF">
        <w:rPr>
          <w:b/>
          <w:sz w:val="22"/>
          <w:szCs w:val="22"/>
        </w:rPr>
        <w:t>Scope 1 (Direct emissions):</w:t>
      </w:r>
      <w:r w:rsidRPr="00717BFF">
        <w:rPr>
          <w:sz w:val="22"/>
          <w:szCs w:val="22"/>
        </w:rPr>
        <w:t xml:space="preserve"> Emissions from activities owned or controlled by the University. Examples include emissions from combustion in owned or controlled boilers, furnaces, vehicles; emissions from chemical production in owned or controlled process equipment.</w:t>
      </w:r>
    </w:p>
    <w:p w14:paraId="4F211495" w14:textId="70945A7D" w:rsidR="00D318AC" w:rsidRDefault="00D318AC" w:rsidP="00215EC3">
      <w:pPr>
        <w:pStyle w:val="FootnoteText"/>
        <w:numPr>
          <w:ilvl w:val="0"/>
          <w:numId w:val="35"/>
        </w:numPr>
        <w:ind w:right="-24"/>
        <w:jc w:val="both"/>
        <w:rPr>
          <w:sz w:val="22"/>
          <w:szCs w:val="22"/>
        </w:rPr>
      </w:pPr>
      <w:r w:rsidRPr="00D318AC">
        <w:rPr>
          <w:b/>
          <w:sz w:val="22"/>
          <w:szCs w:val="22"/>
        </w:rPr>
        <w:t>Scope 2 (Energy indirect):</w:t>
      </w:r>
      <w:r w:rsidRPr="00D318AC">
        <w:rPr>
          <w:sz w:val="22"/>
          <w:szCs w:val="22"/>
        </w:rPr>
        <w:t xml:space="preserve"> Emissions released into the atmosphere associated with the consumption of purchased electricity, heat, steam and cooling. These are indirect emissions that are a consequence of the University’s energy </w:t>
      </w:r>
      <w:r w:rsidR="00DE4418" w:rsidRPr="00D318AC">
        <w:rPr>
          <w:sz w:val="22"/>
          <w:szCs w:val="22"/>
        </w:rPr>
        <w:t>use,</w:t>
      </w:r>
      <w:r w:rsidRPr="00D318AC">
        <w:rPr>
          <w:sz w:val="22"/>
          <w:szCs w:val="22"/>
        </w:rPr>
        <w:t xml:space="preserve"> but which occur at sources we do not own or control.</w:t>
      </w:r>
    </w:p>
    <w:p w14:paraId="2A9A4F4A" w14:textId="4627A19C" w:rsidR="00D318AC" w:rsidRPr="00D318AC" w:rsidRDefault="00D318AC" w:rsidP="00215EC3">
      <w:pPr>
        <w:pStyle w:val="FootnoteText"/>
        <w:numPr>
          <w:ilvl w:val="0"/>
          <w:numId w:val="35"/>
        </w:numPr>
        <w:ind w:right="-24"/>
        <w:jc w:val="both"/>
        <w:rPr>
          <w:sz w:val="22"/>
          <w:szCs w:val="22"/>
        </w:rPr>
      </w:pPr>
      <w:r w:rsidRPr="00D318AC">
        <w:rPr>
          <w:b/>
          <w:sz w:val="22"/>
          <w:szCs w:val="22"/>
        </w:rPr>
        <w:t>Scope 3 (Other indirect):</w:t>
      </w:r>
      <w:r w:rsidRPr="00D318AC">
        <w:rPr>
          <w:sz w:val="22"/>
          <w:szCs w:val="22"/>
        </w:rPr>
        <w:t xml:space="preserve"> Emissions that are a consequence of our actions, which occur at sources which we do not own or control and which are not classed as Scope 2 emissions. Scope 3 emissions can be from activities either upstream or downstream from the University (i.e. they are another organisation’s Scope 1 and 2 emissions).  </w:t>
      </w:r>
    </w:p>
    <w:p w14:paraId="1573E565" w14:textId="5B82CFAC" w:rsidR="00CE2A15" w:rsidRPr="00692773" w:rsidRDefault="00CE2A15" w:rsidP="00692773">
      <w:pPr>
        <w:jc w:val="both"/>
        <w:rPr>
          <w:b/>
        </w:rPr>
      </w:pPr>
    </w:p>
    <w:p w14:paraId="1FE8FD72" w14:textId="5A1F41AD" w:rsidR="00176B82" w:rsidRDefault="00CA6A91" w:rsidP="00D318AC">
      <w:pPr>
        <w:jc w:val="both"/>
        <w:rPr>
          <w:rFonts w:cstheme="minorHAnsi"/>
        </w:rPr>
      </w:pPr>
      <w:r>
        <w:rPr>
          <w:rFonts w:cstheme="minorHAnsi"/>
        </w:rPr>
        <w:t xml:space="preserve">It is best practice to report on all </w:t>
      </w:r>
      <w:hyperlink r:id="rId13" w:anchor=":~:text=EAUC%20Scotland%20%E2%80%93%20The%20Alliance%20for%20Sustainability%20Leadership,and%20Scope%203%20includes%20all%20other%20indirect%20" w:history="1">
        <w:r w:rsidR="00D318AC" w:rsidRPr="00AB5892">
          <w:rPr>
            <w:rStyle w:val="Hyperlink"/>
            <w:rFonts w:cstheme="minorHAnsi"/>
          </w:rPr>
          <w:t xml:space="preserve">Scope 1, 2 and </w:t>
        </w:r>
        <w:r w:rsidR="00D318AC">
          <w:rPr>
            <w:rStyle w:val="Hyperlink"/>
            <w:rFonts w:cstheme="minorHAnsi"/>
          </w:rPr>
          <w:t xml:space="preserve">relevant Scope </w:t>
        </w:r>
        <w:r w:rsidR="00D318AC" w:rsidRPr="00AB5892">
          <w:rPr>
            <w:rStyle w:val="Hyperlink"/>
            <w:rFonts w:cstheme="minorHAnsi"/>
          </w:rPr>
          <w:t>3</w:t>
        </w:r>
      </w:hyperlink>
      <w:r w:rsidR="00D318AC">
        <w:rPr>
          <w:rStyle w:val="Hyperlink"/>
          <w:rFonts w:cstheme="minorHAnsi"/>
        </w:rPr>
        <w:t xml:space="preserve"> </w:t>
      </w:r>
      <w:r>
        <w:rPr>
          <w:rFonts w:cstheme="minorHAnsi"/>
        </w:rPr>
        <w:t>emissions</w:t>
      </w:r>
      <w:r w:rsidR="00D318AC">
        <w:rPr>
          <w:rFonts w:cstheme="minorHAnsi"/>
        </w:rPr>
        <w:t>; t</w:t>
      </w:r>
      <w:r w:rsidR="00176B82">
        <w:rPr>
          <w:rFonts w:cstheme="minorHAnsi"/>
        </w:rPr>
        <w:t>he EAUC (The Alliance for Sustainability Leadership in Education) suggest that the following sources of emissions should be considered</w:t>
      </w:r>
      <w:r w:rsidR="00117B94">
        <w:rPr>
          <w:rFonts w:cstheme="minorHAnsi"/>
        </w:rPr>
        <w:t>:</w:t>
      </w:r>
    </w:p>
    <w:p w14:paraId="4E98700F" w14:textId="77777777" w:rsidR="00D318AC" w:rsidRDefault="00D318AC" w:rsidP="00D318AC">
      <w:pPr>
        <w:jc w:val="both"/>
        <w:rPr>
          <w:rFonts w:cstheme="minorHAnsi"/>
        </w:rPr>
      </w:pPr>
    </w:p>
    <w:tbl>
      <w:tblPr>
        <w:tblStyle w:val="TableGrid"/>
        <w:tblW w:w="0" w:type="auto"/>
        <w:tblInd w:w="426" w:type="dxa"/>
        <w:tblLook w:val="04A0" w:firstRow="1" w:lastRow="0" w:firstColumn="1" w:lastColumn="0" w:noHBand="0" w:noVBand="1"/>
      </w:tblPr>
      <w:tblGrid>
        <w:gridCol w:w="1696"/>
        <w:gridCol w:w="8334"/>
      </w:tblGrid>
      <w:tr w:rsidR="00F85820" w14:paraId="43B5862E" w14:textId="77777777" w:rsidTr="00F85820">
        <w:tc>
          <w:tcPr>
            <w:tcW w:w="1696" w:type="dxa"/>
          </w:tcPr>
          <w:p w14:paraId="6906F84F" w14:textId="06C7D8FE" w:rsidR="00F85820" w:rsidRDefault="00F85820" w:rsidP="00176B82">
            <w:pPr>
              <w:pStyle w:val="ListParagraph"/>
              <w:ind w:left="0"/>
              <w:jc w:val="both"/>
              <w:rPr>
                <w:rFonts w:cstheme="minorHAnsi"/>
              </w:rPr>
            </w:pPr>
            <w:r>
              <w:rPr>
                <w:rFonts w:cstheme="minorHAnsi"/>
              </w:rPr>
              <w:t>Scope 1</w:t>
            </w:r>
          </w:p>
        </w:tc>
        <w:tc>
          <w:tcPr>
            <w:tcW w:w="8334" w:type="dxa"/>
          </w:tcPr>
          <w:p w14:paraId="752E1672" w14:textId="77777777" w:rsidR="00F85820" w:rsidRDefault="00F85820" w:rsidP="00FB3ACC">
            <w:pPr>
              <w:pStyle w:val="ListParagraph"/>
              <w:numPr>
                <w:ilvl w:val="0"/>
                <w:numId w:val="26"/>
              </w:numPr>
              <w:jc w:val="both"/>
              <w:rPr>
                <w:rFonts w:cstheme="minorHAnsi"/>
              </w:rPr>
            </w:pPr>
            <w:r>
              <w:rPr>
                <w:rFonts w:cstheme="minorHAnsi"/>
              </w:rPr>
              <w:t>Gas</w:t>
            </w:r>
          </w:p>
          <w:p w14:paraId="31F47DA4" w14:textId="6F565D32" w:rsidR="00FB3ACC" w:rsidRDefault="00FB3ACC" w:rsidP="00FB3ACC">
            <w:pPr>
              <w:pStyle w:val="ListParagraph"/>
              <w:numPr>
                <w:ilvl w:val="0"/>
                <w:numId w:val="26"/>
              </w:numPr>
              <w:jc w:val="both"/>
              <w:rPr>
                <w:rFonts w:cstheme="minorHAnsi"/>
              </w:rPr>
            </w:pPr>
            <w:r>
              <w:rPr>
                <w:rFonts w:cstheme="minorHAnsi"/>
              </w:rPr>
              <w:t xml:space="preserve">Fuel used within University owned </w:t>
            </w:r>
            <w:r w:rsidR="00B5066B">
              <w:rPr>
                <w:rFonts w:cstheme="minorHAnsi"/>
              </w:rPr>
              <w:t xml:space="preserve">or leased </w:t>
            </w:r>
            <w:r>
              <w:rPr>
                <w:rFonts w:cstheme="minorHAnsi"/>
              </w:rPr>
              <w:t>vehicles</w:t>
            </w:r>
          </w:p>
          <w:p w14:paraId="4B70DC05" w14:textId="1A940B47" w:rsidR="00FB3ACC" w:rsidRDefault="00FB3ACC" w:rsidP="00FB3ACC">
            <w:pPr>
              <w:pStyle w:val="ListParagraph"/>
              <w:numPr>
                <w:ilvl w:val="0"/>
                <w:numId w:val="26"/>
              </w:numPr>
              <w:jc w:val="both"/>
              <w:rPr>
                <w:rFonts w:cstheme="minorHAnsi"/>
              </w:rPr>
            </w:pPr>
            <w:r>
              <w:rPr>
                <w:rFonts w:cstheme="minorHAnsi"/>
              </w:rPr>
              <w:t>Refrigerants / Fugitive emissions</w:t>
            </w:r>
          </w:p>
        </w:tc>
      </w:tr>
      <w:tr w:rsidR="00F85820" w14:paraId="6459CEE7" w14:textId="77777777" w:rsidTr="00F85820">
        <w:tc>
          <w:tcPr>
            <w:tcW w:w="1696" w:type="dxa"/>
          </w:tcPr>
          <w:p w14:paraId="3580B6A6" w14:textId="4325C5ED" w:rsidR="00F85820" w:rsidRDefault="00F85820" w:rsidP="00176B82">
            <w:pPr>
              <w:pStyle w:val="ListParagraph"/>
              <w:ind w:left="0"/>
              <w:jc w:val="both"/>
              <w:rPr>
                <w:rFonts w:cstheme="minorHAnsi"/>
              </w:rPr>
            </w:pPr>
            <w:r>
              <w:rPr>
                <w:rFonts w:cstheme="minorHAnsi"/>
              </w:rPr>
              <w:t>Scope 2</w:t>
            </w:r>
          </w:p>
        </w:tc>
        <w:tc>
          <w:tcPr>
            <w:tcW w:w="8334" w:type="dxa"/>
          </w:tcPr>
          <w:p w14:paraId="25EBDBBE" w14:textId="497AAAE9" w:rsidR="00F85820" w:rsidRDefault="00F85820" w:rsidP="00FB3ACC">
            <w:pPr>
              <w:pStyle w:val="ListParagraph"/>
              <w:numPr>
                <w:ilvl w:val="0"/>
                <w:numId w:val="26"/>
              </w:numPr>
              <w:jc w:val="both"/>
              <w:rPr>
                <w:rFonts w:cstheme="minorHAnsi"/>
              </w:rPr>
            </w:pPr>
            <w:r>
              <w:rPr>
                <w:rFonts w:cstheme="minorHAnsi"/>
              </w:rPr>
              <w:t>Electricity</w:t>
            </w:r>
          </w:p>
        </w:tc>
      </w:tr>
      <w:tr w:rsidR="00F85820" w14:paraId="106C6710" w14:textId="77777777" w:rsidTr="00F85820">
        <w:tc>
          <w:tcPr>
            <w:tcW w:w="1696" w:type="dxa"/>
          </w:tcPr>
          <w:p w14:paraId="3CD9D82B" w14:textId="473CDB8C" w:rsidR="00F85820" w:rsidRDefault="00FB3ACC" w:rsidP="00176B82">
            <w:pPr>
              <w:pStyle w:val="ListParagraph"/>
              <w:ind w:left="0"/>
              <w:jc w:val="both"/>
              <w:rPr>
                <w:rFonts w:cstheme="minorHAnsi"/>
              </w:rPr>
            </w:pPr>
            <w:r>
              <w:rPr>
                <w:rFonts w:cstheme="minorHAnsi"/>
              </w:rPr>
              <w:t>Scope 3</w:t>
            </w:r>
          </w:p>
        </w:tc>
        <w:tc>
          <w:tcPr>
            <w:tcW w:w="8334" w:type="dxa"/>
          </w:tcPr>
          <w:p w14:paraId="3875C8C3" w14:textId="519B856F" w:rsidR="00FB3ACC" w:rsidRPr="00FB3ACC" w:rsidRDefault="00FB3ACC" w:rsidP="00FB3ACC">
            <w:pPr>
              <w:pStyle w:val="ListParagraph"/>
              <w:numPr>
                <w:ilvl w:val="0"/>
                <w:numId w:val="24"/>
              </w:numPr>
              <w:jc w:val="both"/>
              <w:rPr>
                <w:rFonts w:cstheme="minorHAnsi"/>
              </w:rPr>
            </w:pPr>
            <w:r w:rsidRPr="00FB3ACC">
              <w:rPr>
                <w:rFonts w:cstheme="minorHAnsi"/>
              </w:rPr>
              <w:t>Electricity transmission &amp; distribution,</w:t>
            </w:r>
          </w:p>
          <w:p w14:paraId="51158827" w14:textId="77777777" w:rsidR="00B5066B" w:rsidRDefault="00FB3ACC" w:rsidP="00FB3ACC">
            <w:pPr>
              <w:pStyle w:val="ListParagraph"/>
              <w:numPr>
                <w:ilvl w:val="0"/>
                <w:numId w:val="24"/>
              </w:numPr>
              <w:jc w:val="both"/>
              <w:rPr>
                <w:rFonts w:cstheme="minorHAnsi"/>
              </w:rPr>
            </w:pPr>
            <w:r w:rsidRPr="00FB3ACC">
              <w:rPr>
                <w:rFonts w:cstheme="minorHAnsi"/>
              </w:rPr>
              <w:t xml:space="preserve">Electricity Well </w:t>
            </w:r>
            <w:proofErr w:type="gramStart"/>
            <w:r w:rsidRPr="00FB3ACC">
              <w:rPr>
                <w:rFonts w:cstheme="minorHAnsi"/>
              </w:rPr>
              <w:t>To</w:t>
            </w:r>
            <w:proofErr w:type="gramEnd"/>
            <w:r w:rsidRPr="00FB3ACC">
              <w:rPr>
                <w:rFonts w:cstheme="minorHAnsi"/>
              </w:rPr>
              <w:t xml:space="preserve"> Tank</w:t>
            </w:r>
            <w:r w:rsidR="00B5066B">
              <w:rPr>
                <w:rFonts w:cstheme="minorHAnsi"/>
              </w:rPr>
              <w:t xml:space="preserve"> - consumption</w:t>
            </w:r>
            <w:r w:rsidRPr="00FB3ACC">
              <w:rPr>
                <w:rFonts w:cstheme="minorHAnsi"/>
              </w:rPr>
              <w:t>,</w:t>
            </w:r>
          </w:p>
          <w:p w14:paraId="1D8C2AF8" w14:textId="75A7FDBD" w:rsidR="00FB3ACC" w:rsidRPr="00FB3ACC" w:rsidRDefault="00B5066B" w:rsidP="00FB3ACC">
            <w:pPr>
              <w:pStyle w:val="ListParagraph"/>
              <w:numPr>
                <w:ilvl w:val="0"/>
                <w:numId w:val="24"/>
              </w:numPr>
              <w:jc w:val="both"/>
              <w:rPr>
                <w:rFonts w:cstheme="minorHAnsi"/>
              </w:rPr>
            </w:pPr>
            <w:r>
              <w:rPr>
                <w:rFonts w:cstheme="minorHAnsi"/>
              </w:rPr>
              <w:t xml:space="preserve">Electricity Well </w:t>
            </w:r>
            <w:proofErr w:type="gramStart"/>
            <w:r>
              <w:rPr>
                <w:rFonts w:cstheme="minorHAnsi"/>
              </w:rPr>
              <w:t>To</w:t>
            </w:r>
            <w:proofErr w:type="gramEnd"/>
            <w:r>
              <w:rPr>
                <w:rFonts w:cstheme="minorHAnsi"/>
              </w:rPr>
              <w:t xml:space="preserve"> Tank – transmission &amp; distribution</w:t>
            </w:r>
            <w:r w:rsidR="00FB3ACC" w:rsidRPr="00FB3ACC">
              <w:rPr>
                <w:rFonts w:cstheme="minorHAnsi"/>
              </w:rPr>
              <w:t xml:space="preserve"> </w:t>
            </w:r>
          </w:p>
          <w:p w14:paraId="255935E6" w14:textId="77777777" w:rsidR="00FB3ACC" w:rsidRDefault="00FB3ACC" w:rsidP="00FB3ACC">
            <w:pPr>
              <w:pStyle w:val="ListParagraph"/>
              <w:numPr>
                <w:ilvl w:val="0"/>
                <w:numId w:val="24"/>
              </w:numPr>
              <w:jc w:val="both"/>
              <w:rPr>
                <w:rFonts w:cstheme="minorHAnsi"/>
              </w:rPr>
            </w:pPr>
            <w:r w:rsidRPr="00E05B0A">
              <w:rPr>
                <w:rFonts w:cstheme="minorHAnsi"/>
              </w:rPr>
              <w:t xml:space="preserve">Gas Well </w:t>
            </w:r>
            <w:proofErr w:type="gramStart"/>
            <w:r w:rsidRPr="00E05B0A">
              <w:rPr>
                <w:rFonts w:cstheme="minorHAnsi"/>
              </w:rPr>
              <w:t>To</w:t>
            </w:r>
            <w:proofErr w:type="gramEnd"/>
            <w:r w:rsidRPr="00E05B0A">
              <w:rPr>
                <w:rFonts w:cstheme="minorHAnsi"/>
              </w:rPr>
              <w:t xml:space="preserve"> Tank, </w:t>
            </w:r>
          </w:p>
          <w:p w14:paraId="6A758F2B" w14:textId="77777777" w:rsidR="00FB3ACC" w:rsidRDefault="00FB3ACC" w:rsidP="00FB3ACC">
            <w:pPr>
              <w:pStyle w:val="ListParagraph"/>
              <w:numPr>
                <w:ilvl w:val="0"/>
                <w:numId w:val="24"/>
              </w:numPr>
              <w:jc w:val="both"/>
              <w:rPr>
                <w:rFonts w:cstheme="minorHAnsi"/>
              </w:rPr>
            </w:pPr>
            <w:r w:rsidRPr="00E05B0A">
              <w:rPr>
                <w:rFonts w:cstheme="minorHAnsi"/>
              </w:rPr>
              <w:t xml:space="preserve">Fuel Well </w:t>
            </w:r>
            <w:proofErr w:type="gramStart"/>
            <w:r w:rsidRPr="00E05B0A">
              <w:rPr>
                <w:rFonts w:cstheme="minorHAnsi"/>
              </w:rPr>
              <w:t>To</w:t>
            </w:r>
            <w:proofErr w:type="gramEnd"/>
            <w:r w:rsidRPr="00E05B0A">
              <w:rPr>
                <w:rFonts w:cstheme="minorHAnsi"/>
              </w:rPr>
              <w:t xml:space="preserve"> Tank, </w:t>
            </w:r>
          </w:p>
          <w:p w14:paraId="3B0263ED" w14:textId="77777777" w:rsidR="00FB3ACC" w:rsidRDefault="00FB3ACC" w:rsidP="00FB3ACC">
            <w:pPr>
              <w:pStyle w:val="ListParagraph"/>
              <w:numPr>
                <w:ilvl w:val="0"/>
                <w:numId w:val="24"/>
              </w:numPr>
              <w:jc w:val="both"/>
              <w:rPr>
                <w:rFonts w:cstheme="minorHAnsi"/>
              </w:rPr>
            </w:pPr>
            <w:r w:rsidRPr="00E05B0A">
              <w:rPr>
                <w:rFonts w:cstheme="minorHAnsi"/>
              </w:rPr>
              <w:t xml:space="preserve">Waste disposal and recycling (including construction), </w:t>
            </w:r>
          </w:p>
          <w:p w14:paraId="65C045E0" w14:textId="77777777" w:rsidR="00FB3ACC" w:rsidRDefault="00FB3ACC" w:rsidP="00FB3ACC">
            <w:pPr>
              <w:pStyle w:val="ListParagraph"/>
              <w:numPr>
                <w:ilvl w:val="0"/>
                <w:numId w:val="24"/>
              </w:numPr>
              <w:jc w:val="both"/>
              <w:rPr>
                <w:rFonts w:cstheme="minorHAnsi"/>
              </w:rPr>
            </w:pPr>
            <w:r w:rsidRPr="00E05B0A">
              <w:rPr>
                <w:rFonts w:cstheme="minorHAnsi"/>
              </w:rPr>
              <w:t xml:space="preserve">Water supply and treatment, </w:t>
            </w:r>
          </w:p>
          <w:p w14:paraId="1C4586DB" w14:textId="42104E0C" w:rsidR="00FB3ACC" w:rsidRDefault="00FB3ACC" w:rsidP="00FB3ACC">
            <w:pPr>
              <w:pStyle w:val="ListParagraph"/>
              <w:numPr>
                <w:ilvl w:val="0"/>
                <w:numId w:val="24"/>
              </w:numPr>
              <w:jc w:val="both"/>
              <w:rPr>
                <w:rFonts w:cstheme="minorHAnsi"/>
              </w:rPr>
            </w:pPr>
            <w:r w:rsidRPr="00E05B0A">
              <w:rPr>
                <w:rFonts w:cstheme="minorHAnsi"/>
              </w:rPr>
              <w:t>Business travel (including hotel night stays</w:t>
            </w:r>
            <w:r w:rsidR="00A73B5A">
              <w:rPr>
                <w:rFonts w:cstheme="minorHAnsi"/>
              </w:rPr>
              <w:t>, University funded student placements and fieldtrips</w:t>
            </w:r>
            <w:r w:rsidRPr="00E05B0A">
              <w:rPr>
                <w:rFonts w:cstheme="minorHAnsi"/>
              </w:rPr>
              <w:t>)</w:t>
            </w:r>
            <w:r w:rsidR="00D318AC">
              <w:rPr>
                <w:rStyle w:val="FootnoteReference"/>
                <w:rFonts w:cstheme="minorHAnsi"/>
              </w:rPr>
              <w:footnoteReference w:id="4"/>
            </w:r>
            <w:r>
              <w:rPr>
                <w:rFonts w:cstheme="minorHAnsi"/>
              </w:rPr>
              <w:t>,</w:t>
            </w:r>
          </w:p>
          <w:p w14:paraId="3253494A" w14:textId="490FC0E5" w:rsidR="00FB3ACC" w:rsidRDefault="00FB3ACC" w:rsidP="00FB3ACC">
            <w:pPr>
              <w:pStyle w:val="ListParagraph"/>
              <w:numPr>
                <w:ilvl w:val="0"/>
                <w:numId w:val="24"/>
              </w:numPr>
              <w:jc w:val="both"/>
              <w:rPr>
                <w:rFonts w:cstheme="minorHAnsi"/>
              </w:rPr>
            </w:pPr>
            <w:r w:rsidRPr="00E05B0A">
              <w:rPr>
                <w:rFonts w:cstheme="minorHAnsi"/>
              </w:rPr>
              <w:t>Commuting (staff and student)</w:t>
            </w:r>
            <w:r w:rsidR="00D318AC">
              <w:rPr>
                <w:rStyle w:val="FootnoteReference"/>
                <w:rFonts w:cstheme="minorHAnsi"/>
              </w:rPr>
              <w:footnoteReference w:id="5"/>
            </w:r>
            <w:r w:rsidRPr="00E05B0A">
              <w:rPr>
                <w:rFonts w:cstheme="minorHAnsi"/>
              </w:rPr>
              <w:t xml:space="preserve">, </w:t>
            </w:r>
          </w:p>
          <w:p w14:paraId="402F6B88" w14:textId="77777777" w:rsidR="00FB3ACC" w:rsidRDefault="00FB3ACC" w:rsidP="00FB3ACC">
            <w:pPr>
              <w:pStyle w:val="ListParagraph"/>
              <w:numPr>
                <w:ilvl w:val="0"/>
                <w:numId w:val="24"/>
              </w:numPr>
              <w:jc w:val="both"/>
              <w:rPr>
                <w:rFonts w:cstheme="minorHAnsi"/>
              </w:rPr>
            </w:pPr>
            <w:r w:rsidRPr="00E05B0A">
              <w:rPr>
                <w:rFonts w:cstheme="minorHAnsi"/>
              </w:rPr>
              <w:t xml:space="preserve">Home working, </w:t>
            </w:r>
          </w:p>
          <w:p w14:paraId="763D1D77" w14:textId="0B8C1F73" w:rsidR="00FB3ACC" w:rsidRDefault="00FB3ACC" w:rsidP="00FB3ACC">
            <w:pPr>
              <w:pStyle w:val="ListParagraph"/>
              <w:numPr>
                <w:ilvl w:val="0"/>
                <w:numId w:val="24"/>
              </w:numPr>
              <w:jc w:val="both"/>
              <w:rPr>
                <w:rFonts w:cstheme="minorHAnsi"/>
              </w:rPr>
            </w:pPr>
            <w:r w:rsidRPr="00E05B0A">
              <w:rPr>
                <w:rFonts w:cstheme="minorHAnsi"/>
              </w:rPr>
              <w:t>Student travel to campus at the start and end of term</w:t>
            </w:r>
            <w:r w:rsidR="00D318AC">
              <w:rPr>
                <w:rStyle w:val="FootnoteReference"/>
                <w:rFonts w:cstheme="minorHAnsi"/>
              </w:rPr>
              <w:footnoteReference w:id="6"/>
            </w:r>
            <w:r w:rsidRPr="00E05B0A">
              <w:rPr>
                <w:rFonts w:cstheme="minorHAnsi"/>
              </w:rPr>
              <w:t xml:space="preserve">, </w:t>
            </w:r>
          </w:p>
          <w:p w14:paraId="21A04F00" w14:textId="1B655F11" w:rsidR="00FB3ACC" w:rsidRDefault="00A73B5A" w:rsidP="00FB3ACC">
            <w:pPr>
              <w:pStyle w:val="ListParagraph"/>
              <w:numPr>
                <w:ilvl w:val="0"/>
                <w:numId w:val="24"/>
              </w:numPr>
              <w:jc w:val="both"/>
              <w:rPr>
                <w:rFonts w:cstheme="minorHAnsi"/>
              </w:rPr>
            </w:pPr>
            <w:r>
              <w:rPr>
                <w:rFonts w:cstheme="minorHAnsi"/>
              </w:rPr>
              <w:t xml:space="preserve">Supply Chain / </w:t>
            </w:r>
            <w:r w:rsidR="00FB3ACC" w:rsidRPr="00E05B0A">
              <w:rPr>
                <w:rFonts w:cstheme="minorHAnsi"/>
              </w:rPr>
              <w:t>Procurement</w:t>
            </w:r>
            <w:r w:rsidR="00FB3ACC">
              <w:rPr>
                <w:rFonts w:cstheme="minorHAnsi"/>
              </w:rPr>
              <w:t>,</w:t>
            </w:r>
            <w:r w:rsidR="00FB3ACC" w:rsidRPr="00E05B0A">
              <w:rPr>
                <w:rFonts w:cstheme="minorHAnsi"/>
              </w:rPr>
              <w:t xml:space="preserve"> and </w:t>
            </w:r>
          </w:p>
          <w:p w14:paraId="0C46BA79" w14:textId="1ACFCAEA" w:rsidR="00F85820" w:rsidRPr="00FB3ACC" w:rsidRDefault="00FB3ACC" w:rsidP="00FB3ACC">
            <w:pPr>
              <w:pStyle w:val="ListParagraph"/>
              <w:numPr>
                <w:ilvl w:val="0"/>
                <w:numId w:val="24"/>
              </w:numPr>
              <w:jc w:val="both"/>
              <w:rPr>
                <w:rFonts w:cstheme="minorHAnsi"/>
              </w:rPr>
            </w:pPr>
            <w:r w:rsidRPr="00E05B0A">
              <w:rPr>
                <w:rFonts w:cstheme="minorHAnsi"/>
              </w:rPr>
              <w:t>Investments</w:t>
            </w:r>
          </w:p>
        </w:tc>
      </w:tr>
    </w:tbl>
    <w:p w14:paraId="0975C08F" w14:textId="77777777" w:rsidR="00176B82" w:rsidRDefault="00176B82" w:rsidP="00176B82">
      <w:pPr>
        <w:pStyle w:val="ListParagraph"/>
        <w:ind w:left="426"/>
        <w:jc w:val="both"/>
        <w:rPr>
          <w:rFonts w:cstheme="minorHAnsi"/>
        </w:rPr>
      </w:pPr>
    </w:p>
    <w:p w14:paraId="0D7583D3" w14:textId="07FC9487" w:rsidR="0047609E" w:rsidRDefault="00FB3ACC" w:rsidP="0047609E">
      <w:pPr>
        <w:jc w:val="both"/>
        <w:rPr>
          <w:rFonts w:cstheme="minorHAnsi"/>
        </w:rPr>
      </w:pPr>
      <w:r>
        <w:rPr>
          <w:rFonts w:cstheme="minorHAnsi"/>
        </w:rPr>
        <w:t xml:space="preserve">Accurate data is required </w:t>
      </w:r>
      <w:r w:rsidR="00C20FCC">
        <w:rPr>
          <w:rFonts w:cstheme="minorHAnsi"/>
        </w:rPr>
        <w:t>for</w:t>
      </w:r>
      <w:r>
        <w:rPr>
          <w:rFonts w:cstheme="minorHAnsi"/>
        </w:rPr>
        <w:t xml:space="preserve"> these emissions as they cannot be considered and reduced if </w:t>
      </w:r>
      <w:r w:rsidR="00505C64">
        <w:rPr>
          <w:rFonts w:cstheme="minorHAnsi"/>
        </w:rPr>
        <w:t xml:space="preserve">they are </w:t>
      </w:r>
      <w:r w:rsidR="00C20FCC">
        <w:rPr>
          <w:rFonts w:cstheme="minorHAnsi"/>
        </w:rPr>
        <w:t xml:space="preserve">not </w:t>
      </w:r>
      <w:r w:rsidR="00505C64">
        <w:rPr>
          <w:rFonts w:cstheme="minorHAnsi"/>
        </w:rPr>
        <w:t xml:space="preserve">known </w:t>
      </w:r>
      <w:r>
        <w:rPr>
          <w:rFonts w:cstheme="minorHAnsi"/>
        </w:rPr>
        <w:t>and any reduction targets, and progress towards them, would essentially be meaningless</w:t>
      </w:r>
      <w:r w:rsidR="0047609E">
        <w:rPr>
          <w:rFonts w:cstheme="minorHAnsi"/>
        </w:rPr>
        <w:t xml:space="preserve">.  </w:t>
      </w:r>
      <w:r w:rsidR="00505C64">
        <w:rPr>
          <w:rFonts w:cstheme="minorHAnsi"/>
        </w:rPr>
        <w:t xml:space="preserve">While we have a solid understanding of our Scope 1 and 2 emissions, we recognise that we are </w:t>
      </w:r>
      <w:r w:rsidR="008C302D">
        <w:rPr>
          <w:rFonts w:cstheme="minorHAnsi"/>
        </w:rPr>
        <w:t xml:space="preserve">in a poorer </w:t>
      </w:r>
      <w:r w:rsidR="00505C64">
        <w:rPr>
          <w:rFonts w:cstheme="minorHAnsi"/>
        </w:rPr>
        <w:t>position regarding our Scope 3 emissions</w:t>
      </w:r>
      <w:r w:rsidR="00142867">
        <w:rPr>
          <w:rFonts w:cstheme="minorHAnsi"/>
        </w:rPr>
        <w:t xml:space="preserve"> and </w:t>
      </w:r>
      <w:r w:rsidR="00E91A60">
        <w:rPr>
          <w:rFonts w:cstheme="minorHAnsi"/>
        </w:rPr>
        <w:t xml:space="preserve">that </w:t>
      </w:r>
      <w:r w:rsidR="00142867">
        <w:rPr>
          <w:rFonts w:cstheme="minorHAnsi"/>
        </w:rPr>
        <w:t xml:space="preserve">we still have to </w:t>
      </w:r>
      <w:r w:rsidR="007613D1">
        <w:rPr>
          <w:rFonts w:cstheme="minorHAnsi"/>
        </w:rPr>
        <w:t xml:space="preserve">consider the relevant emission sources and then </w:t>
      </w:r>
      <w:r w:rsidR="00A73B5A">
        <w:rPr>
          <w:rFonts w:cstheme="minorHAnsi"/>
        </w:rPr>
        <w:t xml:space="preserve">complete the </w:t>
      </w:r>
      <w:r w:rsidR="004D25DC">
        <w:rPr>
          <w:rFonts w:cstheme="minorHAnsi"/>
        </w:rPr>
        <w:t xml:space="preserve">necessary </w:t>
      </w:r>
      <w:r w:rsidR="00142867">
        <w:rPr>
          <w:rFonts w:cstheme="minorHAnsi"/>
        </w:rPr>
        <w:t>collect</w:t>
      </w:r>
      <w:r w:rsidR="00A73B5A">
        <w:rPr>
          <w:rFonts w:cstheme="minorHAnsi"/>
        </w:rPr>
        <w:t>ion</w:t>
      </w:r>
      <w:r w:rsidR="00142867">
        <w:rPr>
          <w:rFonts w:cstheme="minorHAnsi"/>
        </w:rPr>
        <w:t xml:space="preserve"> and analys</w:t>
      </w:r>
      <w:r w:rsidR="00A73B5A">
        <w:rPr>
          <w:rFonts w:cstheme="minorHAnsi"/>
        </w:rPr>
        <w:t xml:space="preserve">is of </w:t>
      </w:r>
      <w:r w:rsidR="00142867">
        <w:rPr>
          <w:rFonts w:cstheme="minorHAnsi"/>
        </w:rPr>
        <w:t>data</w:t>
      </w:r>
      <w:r w:rsidR="004D25DC">
        <w:rPr>
          <w:rFonts w:cstheme="minorHAnsi"/>
        </w:rPr>
        <w:t xml:space="preserve">.  </w:t>
      </w:r>
      <w:r w:rsidR="008C302D">
        <w:rPr>
          <w:rFonts w:cstheme="minorHAnsi"/>
        </w:rPr>
        <w:t xml:space="preserve">This, however, is not </w:t>
      </w:r>
      <w:r w:rsidR="00142867">
        <w:rPr>
          <w:rFonts w:cstheme="minorHAnsi"/>
        </w:rPr>
        <w:t>uncommon across the sector as most organisations have started with Scope 1 and 2 emissions</w:t>
      </w:r>
      <w:r w:rsidR="008C302D">
        <w:rPr>
          <w:rFonts w:cstheme="minorHAnsi"/>
        </w:rPr>
        <w:t xml:space="preserve"> and are only </w:t>
      </w:r>
      <w:r w:rsidR="00A73B5A">
        <w:rPr>
          <w:rFonts w:cstheme="minorHAnsi"/>
        </w:rPr>
        <w:t>recently</w:t>
      </w:r>
      <w:r w:rsidR="008C302D">
        <w:rPr>
          <w:rFonts w:cstheme="minorHAnsi"/>
        </w:rPr>
        <w:t xml:space="preserve"> starting to get a </w:t>
      </w:r>
      <w:r w:rsidR="00A73B5A">
        <w:rPr>
          <w:rFonts w:cstheme="minorHAnsi"/>
        </w:rPr>
        <w:t>solid</w:t>
      </w:r>
      <w:r w:rsidR="008C302D">
        <w:rPr>
          <w:rFonts w:cstheme="minorHAnsi"/>
        </w:rPr>
        <w:t xml:space="preserve"> understanding o</w:t>
      </w:r>
      <w:r w:rsidR="00A73B5A">
        <w:rPr>
          <w:rFonts w:cstheme="minorHAnsi"/>
        </w:rPr>
        <w:t>f</w:t>
      </w:r>
      <w:r w:rsidR="008C302D">
        <w:rPr>
          <w:rFonts w:cstheme="minorHAnsi"/>
        </w:rPr>
        <w:t xml:space="preserve"> their Scope 3 emissions.  </w:t>
      </w:r>
      <w:r w:rsidR="0047609E">
        <w:rPr>
          <w:rFonts w:cstheme="minorHAnsi"/>
        </w:rPr>
        <w:t>In terms of quality, it is generally accepted that measurement of Scope 3 emissions will have a higher level of uncertainty</w:t>
      </w:r>
      <w:r w:rsidR="00C20FCC">
        <w:rPr>
          <w:rFonts w:cstheme="minorHAnsi"/>
        </w:rPr>
        <w:t xml:space="preserve"> and errors may arise during the sourcing, interpretation and conversion of data</w:t>
      </w:r>
      <w:r w:rsidR="008C302D">
        <w:rPr>
          <w:rFonts w:cstheme="minorHAnsi"/>
        </w:rPr>
        <w:t>; h</w:t>
      </w:r>
      <w:r w:rsidR="0047609E">
        <w:rPr>
          <w:rFonts w:cstheme="minorHAnsi"/>
        </w:rPr>
        <w:t xml:space="preserve">owever, it is still important to include these to fully </w:t>
      </w:r>
      <w:r w:rsidR="0047609E">
        <w:rPr>
          <w:rFonts w:cstheme="minorHAnsi"/>
        </w:rPr>
        <w:lastRenderedPageBreak/>
        <w:t>understand the relative magnitude of key sources of emissions and prioritise reduction opportunities.</w:t>
      </w:r>
      <w:r w:rsidR="00A46078">
        <w:rPr>
          <w:rFonts w:cstheme="minorHAnsi"/>
        </w:rPr>
        <w:t xml:space="preserve">  It is worth noting that d</w:t>
      </w:r>
      <w:r w:rsidR="00A46078" w:rsidRPr="00CD5CEE">
        <w:rPr>
          <w:rFonts w:cstheme="minorHAnsi"/>
        </w:rPr>
        <w:t xml:space="preserve">etailed methodology has not been developed for all Scope 3 emissions and there </w:t>
      </w:r>
      <w:r w:rsidR="00692773">
        <w:rPr>
          <w:rFonts w:cstheme="minorHAnsi"/>
        </w:rPr>
        <w:t xml:space="preserve">appears to be </w:t>
      </w:r>
      <w:r w:rsidR="00A46078">
        <w:rPr>
          <w:rFonts w:cstheme="minorHAnsi"/>
        </w:rPr>
        <w:t xml:space="preserve">no </w:t>
      </w:r>
      <w:r w:rsidR="00A46078" w:rsidRPr="00CD5CEE">
        <w:rPr>
          <w:rFonts w:cstheme="minorHAnsi"/>
        </w:rPr>
        <w:t>standard used across the sector</w:t>
      </w:r>
      <w:r w:rsidR="00A46078">
        <w:rPr>
          <w:rFonts w:cstheme="minorHAnsi"/>
        </w:rPr>
        <w:t>;</w:t>
      </w:r>
      <w:r w:rsidR="00212D38">
        <w:rPr>
          <w:rFonts w:cstheme="minorHAnsi"/>
        </w:rPr>
        <w:t xml:space="preserve"> </w:t>
      </w:r>
      <w:r w:rsidR="00692773">
        <w:rPr>
          <w:rFonts w:cstheme="minorHAnsi"/>
        </w:rPr>
        <w:t>therefore,</w:t>
      </w:r>
      <w:r w:rsidR="00A46078">
        <w:rPr>
          <w:rFonts w:cstheme="minorHAnsi"/>
        </w:rPr>
        <w:t xml:space="preserve"> at present the methodology is not robust e.g. the supply chain emissions are currently calculated on a spend basis and there are concerns about double counting emissions e.g. utility costs and travel.  However, the EAUC (Alliance for Sustainability Leadership in Education) </w:t>
      </w:r>
      <w:r w:rsidR="00B77587">
        <w:rPr>
          <w:rFonts w:cstheme="minorHAnsi"/>
        </w:rPr>
        <w:t xml:space="preserve">are </w:t>
      </w:r>
      <w:r w:rsidR="00A46078" w:rsidRPr="00CD5CEE">
        <w:rPr>
          <w:rFonts w:cstheme="minorHAnsi"/>
        </w:rPr>
        <w:t>leading workgroup</w:t>
      </w:r>
      <w:r w:rsidR="00B77587">
        <w:rPr>
          <w:rFonts w:cstheme="minorHAnsi"/>
        </w:rPr>
        <w:t>s</w:t>
      </w:r>
      <w:r w:rsidR="00A46078" w:rsidRPr="00CD5CEE">
        <w:rPr>
          <w:rFonts w:cstheme="minorHAnsi"/>
        </w:rPr>
        <w:t xml:space="preserve"> who are developing</w:t>
      </w:r>
      <w:r w:rsidR="00A46078">
        <w:rPr>
          <w:rFonts w:cstheme="minorHAnsi"/>
        </w:rPr>
        <w:t xml:space="preserve">, </w:t>
      </w:r>
      <w:r w:rsidR="00B5066B">
        <w:rPr>
          <w:rFonts w:cstheme="minorHAnsi"/>
        </w:rPr>
        <w:t>and/</w:t>
      </w:r>
      <w:r w:rsidR="00A46078">
        <w:rPr>
          <w:rFonts w:cstheme="minorHAnsi"/>
        </w:rPr>
        <w:t>or revising,</w:t>
      </w:r>
      <w:r w:rsidR="00A46078" w:rsidRPr="00CD5CEE">
        <w:rPr>
          <w:rFonts w:cstheme="minorHAnsi"/>
        </w:rPr>
        <w:t xml:space="preserve"> these methodologies</w:t>
      </w:r>
      <w:r w:rsidR="00A46078">
        <w:rPr>
          <w:rFonts w:cstheme="minorHAnsi"/>
        </w:rPr>
        <w:t xml:space="preserve"> and the </w:t>
      </w:r>
      <w:r w:rsidR="00864839">
        <w:rPr>
          <w:rFonts w:cstheme="minorHAnsi"/>
        </w:rPr>
        <w:t>CRP</w:t>
      </w:r>
      <w:r w:rsidR="00A46078">
        <w:rPr>
          <w:rFonts w:cstheme="minorHAnsi"/>
        </w:rPr>
        <w:t xml:space="preserve"> will be updated</w:t>
      </w:r>
      <w:r w:rsidR="00212D38">
        <w:rPr>
          <w:rFonts w:cstheme="minorHAnsi"/>
        </w:rPr>
        <w:t xml:space="preserve"> </w:t>
      </w:r>
      <w:r w:rsidR="00B77587">
        <w:rPr>
          <w:rFonts w:cstheme="minorHAnsi"/>
        </w:rPr>
        <w:t>as</w:t>
      </w:r>
      <w:r w:rsidR="00212D38">
        <w:rPr>
          <w:rFonts w:cstheme="minorHAnsi"/>
        </w:rPr>
        <w:t xml:space="preserve"> required</w:t>
      </w:r>
      <w:r w:rsidR="00A46078">
        <w:rPr>
          <w:rFonts w:cstheme="minorHAnsi"/>
        </w:rPr>
        <w:t xml:space="preserve"> </w:t>
      </w:r>
      <w:r w:rsidR="00692773">
        <w:rPr>
          <w:rFonts w:cstheme="minorHAnsi"/>
        </w:rPr>
        <w:t>to reflect this.</w:t>
      </w:r>
    </w:p>
    <w:p w14:paraId="42617B8D" w14:textId="30CD972E" w:rsidR="00C20FCC" w:rsidRDefault="00C20FCC" w:rsidP="0047609E">
      <w:pPr>
        <w:jc w:val="both"/>
        <w:rPr>
          <w:rFonts w:cstheme="minorHAnsi"/>
        </w:rPr>
      </w:pPr>
    </w:p>
    <w:p w14:paraId="5A2D9A13" w14:textId="4913DEE5" w:rsidR="00C20FCC" w:rsidRDefault="00C20FCC" w:rsidP="0047609E">
      <w:pPr>
        <w:jc w:val="both"/>
        <w:rPr>
          <w:rFonts w:cstheme="minorHAnsi"/>
        </w:rPr>
      </w:pPr>
      <w:r>
        <w:rPr>
          <w:rFonts w:cstheme="minorHAnsi"/>
        </w:rPr>
        <w:t xml:space="preserve">Emissions are calculated as accurately as possible with the data that is available at the </w:t>
      </w:r>
      <w:r w:rsidR="007613D1">
        <w:rPr>
          <w:rFonts w:cstheme="minorHAnsi"/>
        </w:rPr>
        <w:t>time</w:t>
      </w:r>
      <w:r>
        <w:rPr>
          <w:rFonts w:cstheme="minorHAnsi"/>
        </w:rPr>
        <w:t xml:space="preserve"> of writing using primary data where possible (such as kWh, L and m</w:t>
      </w:r>
      <w:r>
        <w:rPr>
          <w:rFonts w:cstheme="minorHAnsi"/>
          <w:vertAlign w:val="superscript"/>
        </w:rPr>
        <w:t>3</w:t>
      </w:r>
      <w:r>
        <w:rPr>
          <w:rFonts w:cstheme="minorHAnsi"/>
        </w:rPr>
        <w:t>), then secondary data (such as distance), then spend data as a last resort using the HESCET tool.</w:t>
      </w:r>
      <w:r w:rsidR="00B47457">
        <w:rPr>
          <w:rFonts w:cstheme="minorHAnsi"/>
        </w:rPr>
        <w:t xml:space="preserve">  </w:t>
      </w:r>
    </w:p>
    <w:p w14:paraId="1A5AE0D8" w14:textId="2B70764B" w:rsidR="00A81C4B" w:rsidRDefault="00A81C4B" w:rsidP="0047609E">
      <w:pPr>
        <w:jc w:val="both"/>
        <w:rPr>
          <w:rFonts w:cstheme="minorHAnsi"/>
        </w:rPr>
      </w:pPr>
    </w:p>
    <w:p w14:paraId="1476DB17" w14:textId="2E8F07B4" w:rsidR="00A81C4B" w:rsidRDefault="00A81C4B" w:rsidP="0047609E">
      <w:pPr>
        <w:jc w:val="both"/>
        <w:rPr>
          <w:rFonts w:cstheme="minorHAnsi"/>
        </w:rPr>
      </w:pPr>
      <w:r>
        <w:rPr>
          <w:rFonts w:cstheme="minorHAnsi"/>
        </w:rPr>
        <w:t>All data reported will be for the University financial year 1 August to 31 July.</w:t>
      </w:r>
    </w:p>
    <w:p w14:paraId="4F1FC77D" w14:textId="778F7A40" w:rsidR="00FB3ACC" w:rsidRDefault="00FB3ACC" w:rsidP="00CA6A91">
      <w:pPr>
        <w:jc w:val="both"/>
        <w:rPr>
          <w:rFonts w:cstheme="minorHAnsi"/>
        </w:rPr>
      </w:pPr>
    </w:p>
    <w:p w14:paraId="603499F7" w14:textId="09BBD3BE" w:rsidR="00C37BCD" w:rsidRDefault="00692773" w:rsidP="00692773">
      <w:pPr>
        <w:pStyle w:val="ListParagraph"/>
        <w:numPr>
          <w:ilvl w:val="0"/>
          <w:numId w:val="1"/>
        </w:numPr>
        <w:jc w:val="both"/>
        <w:rPr>
          <w:b/>
        </w:rPr>
      </w:pPr>
      <w:r>
        <w:rPr>
          <w:b/>
        </w:rPr>
        <w:t xml:space="preserve">CARBON </w:t>
      </w:r>
      <w:r w:rsidR="00DE4418">
        <w:rPr>
          <w:b/>
        </w:rPr>
        <w:t xml:space="preserve">PERFORMANCE (2005-2006 to </w:t>
      </w:r>
      <w:r w:rsidR="005059AE">
        <w:rPr>
          <w:b/>
        </w:rPr>
        <w:t>2019-2020</w:t>
      </w:r>
      <w:r w:rsidR="00DE4418">
        <w:rPr>
          <w:b/>
        </w:rPr>
        <w:t>)</w:t>
      </w:r>
    </w:p>
    <w:p w14:paraId="26A0BABA" w14:textId="77777777" w:rsidR="00692773" w:rsidRPr="00692773" w:rsidRDefault="00692773" w:rsidP="00692773">
      <w:pPr>
        <w:jc w:val="both"/>
        <w:rPr>
          <w:b/>
        </w:rPr>
      </w:pPr>
    </w:p>
    <w:p w14:paraId="2D8AE491" w14:textId="4EA7BC8D" w:rsidR="003E0E8F" w:rsidRDefault="001D178C" w:rsidP="003E0E8F">
      <w:pPr>
        <w:pStyle w:val="ListParagraph"/>
        <w:numPr>
          <w:ilvl w:val="0"/>
          <w:numId w:val="6"/>
        </w:numPr>
        <w:jc w:val="both"/>
        <w:rPr>
          <w:b/>
        </w:rPr>
      </w:pPr>
      <w:r>
        <w:rPr>
          <w:b/>
        </w:rPr>
        <w:t xml:space="preserve">Scope 1 and 2 </w:t>
      </w:r>
      <w:r w:rsidR="00A6375C">
        <w:rPr>
          <w:b/>
        </w:rPr>
        <w:t xml:space="preserve">emissions </w:t>
      </w:r>
    </w:p>
    <w:p w14:paraId="3BCF74B2" w14:textId="6D8249A5" w:rsidR="001E5A00" w:rsidRDefault="00C17C0C" w:rsidP="00152CAA">
      <w:pPr>
        <w:jc w:val="both"/>
      </w:pPr>
      <w:r>
        <w:t xml:space="preserve">The University’s Scope 1 and 2 carbon emissions </w:t>
      </w:r>
      <w:r w:rsidR="00A73B5A">
        <w:t xml:space="preserve">have reduced by </w:t>
      </w:r>
      <w:r w:rsidR="006C2684">
        <w:t>51</w:t>
      </w:r>
      <w:r w:rsidR="00A73B5A">
        <w:t xml:space="preserve">% </w:t>
      </w:r>
      <w:r>
        <w:t>since 2005-</w:t>
      </w:r>
      <w:r w:rsidRPr="004A7970">
        <w:t>2006</w:t>
      </w:r>
      <w:r w:rsidR="0041332D" w:rsidRPr="004A7970">
        <w:t xml:space="preserve"> (</w:t>
      </w:r>
      <w:r w:rsidRPr="004A7970">
        <w:t>Figure 1</w:t>
      </w:r>
      <w:r w:rsidR="0041332D" w:rsidRPr="004A7970">
        <w:t>)</w:t>
      </w:r>
      <w:r w:rsidR="00033423" w:rsidRPr="004A7970">
        <w:t xml:space="preserve">.  </w:t>
      </w:r>
      <w:r w:rsidRPr="004A7970">
        <w:t xml:space="preserve"> The</w:t>
      </w:r>
      <w:r>
        <w:t xml:space="preserve"> </w:t>
      </w:r>
      <w:r w:rsidR="001E5A00">
        <w:t xml:space="preserve">consumption of gas and electricity account </w:t>
      </w:r>
      <w:r w:rsidR="00A86369">
        <w:t>for</w:t>
      </w:r>
      <w:r w:rsidR="001E5A00">
        <w:t xml:space="preserve"> the majority of emissions </w:t>
      </w:r>
      <w:r w:rsidR="00033423">
        <w:t xml:space="preserve">and until 2018-2019 electricity was the dominant source; </w:t>
      </w:r>
      <w:r w:rsidR="00152CAA">
        <w:t xml:space="preserve">the emissions from </w:t>
      </w:r>
      <w:r w:rsidR="00033423">
        <w:t>refrigerant gases</w:t>
      </w:r>
      <w:r w:rsidR="00152CAA">
        <w:t xml:space="preserve"> </w:t>
      </w:r>
      <w:r w:rsidR="00B77587">
        <w:t>are</w:t>
      </w:r>
      <w:r w:rsidR="00152CAA">
        <w:t xml:space="preserve"> variable but ha</w:t>
      </w:r>
      <w:r w:rsidR="00B77587">
        <w:t>ve</w:t>
      </w:r>
      <w:r w:rsidR="00152CAA">
        <w:t xml:space="preserve"> never contributed more than 5%</w:t>
      </w:r>
      <w:r w:rsidR="00B33FA8">
        <w:t xml:space="preserve">; </w:t>
      </w:r>
      <w:r w:rsidR="00152CAA">
        <w:t>and the fuel used within University owned vehicles is negligible</w:t>
      </w:r>
      <w:r w:rsidR="00DE4418">
        <w:t xml:space="preserve">.  </w:t>
      </w:r>
      <w:r w:rsidR="00033423">
        <w:t>The</w:t>
      </w:r>
      <w:r w:rsidR="00152CAA">
        <w:t xml:space="preserve"> </w:t>
      </w:r>
      <w:r w:rsidR="00033423">
        <w:t>electricity emissions have reduced predominately because of the reduction in carbon conversion factor (</w:t>
      </w:r>
      <w:r w:rsidR="00E007D0">
        <w:t>see below for more detail</w:t>
      </w:r>
      <w:r w:rsidR="00152CAA">
        <w:t xml:space="preserve">) as the </w:t>
      </w:r>
      <w:r w:rsidR="00A86369">
        <w:t>UK</w:t>
      </w:r>
      <w:r w:rsidR="00152CAA">
        <w:t xml:space="preserve"> has moved away from coal generated electricity to using more gas and renewables.  </w:t>
      </w:r>
      <w:r w:rsidR="00E007D0">
        <w:t xml:space="preserve">Despite our reduction in emissions, </w:t>
      </w:r>
      <w:r w:rsidR="001358F9">
        <w:t xml:space="preserve">particularly </w:t>
      </w:r>
      <w:r w:rsidR="00E007D0">
        <w:t xml:space="preserve">since 2012-2013, we recognise that if we are to achieve our net zero ambitions significant further work is required, particularly to </w:t>
      </w:r>
      <w:r w:rsidR="0048746F">
        <w:t>reduce our reliance on gas</w:t>
      </w:r>
      <w:r w:rsidR="00E007D0">
        <w:t>.</w:t>
      </w:r>
    </w:p>
    <w:p w14:paraId="7D56B187" w14:textId="77777777" w:rsidR="001E5A00" w:rsidRDefault="001E5A00" w:rsidP="008139E3">
      <w:pPr>
        <w:jc w:val="both"/>
      </w:pPr>
    </w:p>
    <w:p w14:paraId="29C4DAEA" w14:textId="1E4E8570" w:rsidR="00C17C0C" w:rsidRDefault="00C17C0C" w:rsidP="00C17C0C">
      <w:pPr>
        <w:jc w:val="both"/>
        <w:rPr>
          <w:rFonts w:cstheme="minorHAnsi"/>
        </w:rPr>
      </w:pPr>
      <w:r>
        <w:rPr>
          <w:rFonts w:cstheme="minorHAnsi"/>
        </w:rPr>
        <w:t>The University’s</w:t>
      </w:r>
      <w:r w:rsidR="00CA0189">
        <w:rPr>
          <w:rFonts w:cstheme="minorHAnsi"/>
        </w:rPr>
        <w:t xml:space="preserve"> </w:t>
      </w:r>
      <w:r w:rsidR="00CA0189" w:rsidRPr="004A7970">
        <w:rPr>
          <w:rFonts w:cstheme="minorHAnsi"/>
        </w:rPr>
        <w:t>complete</w:t>
      </w:r>
      <w:r w:rsidRPr="004A7970">
        <w:rPr>
          <w:rFonts w:cstheme="minorHAnsi"/>
        </w:rPr>
        <w:t xml:space="preserve"> carbon footprint can be found in Appendix A and the data source of the University’s emissions can be found in Appendix B.</w:t>
      </w:r>
      <w:r>
        <w:rPr>
          <w:rFonts w:cstheme="minorHAnsi"/>
        </w:rPr>
        <w:t xml:space="preserve">     </w:t>
      </w:r>
    </w:p>
    <w:p w14:paraId="52638192" w14:textId="77777777" w:rsidR="009E7BD1" w:rsidRDefault="009E7BD1" w:rsidP="008139E3">
      <w:pPr>
        <w:jc w:val="both"/>
      </w:pPr>
    </w:p>
    <w:p w14:paraId="6D4734C6" w14:textId="329BEF9B" w:rsidR="001F3C6B" w:rsidRPr="00341219" w:rsidRDefault="005059AE" w:rsidP="001F3C6B">
      <w:pPr>
        <w:jc w:val="both"/>
      </w:pPr>
      <w:r>
        <w:rPr>
          <w:noProof/>
        </w:rPr>
        <w:drawing>
          <wp:inline distT="0" distB="0" distL="0" distR="0" wp14:anchorId="346143E9" wp14:editId="4D5966D6">
            <wp:extent cx="6605312" cy="4320000"/>
            <wp:effectExtent l="0" t="0" r="508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05312" cy="4320000"/>
                    </a:xfrm>
                    <a:prstGeom prst="rect">
                      <a:avLst/>
                    </a:prstGeom>
                    <a:noFill/>
                  </pic:spPr>
                </pic:pic>
              </a:graphicData>
            </a:graphic>
          </wp:inline>
        </w:drawing>
      </w:r>
    </w:p>
    <w:p w14:paraId="5FC08A96" w14:textId="77777777" w:rsidR="001F3C6B" w:rsidRPr="00FB62F8" w:rsidRDefault="001F3C6B" w:rsidP="001F3C6B">
      <w:pPr>
        <w:jc w:val="both"/>
        <w:rPr>
          <w:b/>
          <w:sz w:val="16"/>
          <w:szCs w:val="16"/>
          <w:highlight w:val="yellow"/>
        </w:rPr>
      </w:pPr>
    </w:p>
    <w:p w14:paraId="789183AA" w14:textId="6FB381F8" w:rsidR="001F3C6B" w:rsidRPr="00341219" w:rsidRDefault="001F3C6B" w:rsidP="001F3C6B">
      <w:pPr>
        <w:jc w:val="both"/>
        <w:rPr>
          <w:b/>
        </w:rPr>
      </w:pPr>
      <w:r w:rsidRPr="00717BFF">
        <w:rPr>
          <w:b/>
        </w:rPr>
        <w:t xml:space="preserve">Figure </w:t>
      </w:r>
      <w:r>
        <w:rPr>
          <w:b/>
        </w:rPr>
        <w:t>1</w:t>
      </w:r>
      <w:r w:rsidRPr="00717BFF">
        <w:rPr>
          <w:b/>
        </w:rPr>
        <w:t xml:space="preserve">.  Cumulative </w:t>
      </w:r>
      <w:r w:rsidR="00117B94">
        <w:rPr>
          <w:b/>
        </w:rPr>
        <w:t xml:space="preserve">Scope 1 and 2 </w:t>
      </w:r>
      <w:r w:rsidRPr="00717BFF">
        <w:rPr>
          <w:b/>
        </w:rPr>
        <w:t xml:space="preserve">carbon emissions from 2005-2006 to </w:t>
      </w:r>
      <w:r w:rsidR="006C2684">
        <w:rPr>
          <w:b/>
        </w:rPr>
        <w:t>2019-2020</w:t>
      </w:r>
    </w:p>
    <w:p w14:paraId="43CFA96F" w14:textId="77777777" w:rsidR="00721A7D" w:rsidRPr="00721A7D" w:rsidRDefault="00721A7D" w:rsidP="00341219">
      <w:pPr>
        <w:jc w:val="both"/>
        <w:rPr>
          <w:b/>
          <w:sz w:val="16"/>
          <w:szCs w:val="16"/>
        </w:rPr>
      </w:pPr>
    </w:p>
    <w:p w14:paraId="5F33A880" w14:textId="0AAA7F95" w:rsidR="00602856" w:rsidRDefault="00E007D0" w:rsidP="00A963A7">
      <w:pPr>
        <w:jc w:val="both"/>
      </w:pPr>
      <w:r>
        <w:lastRenderedPageBreak/>
        <w:t xml:space="preserve">As mentioned above it must </w:t>
      </w:r>
      <w:r w:rsidR="009A32E2">
        <w:t xml:space="preserve">be noted that the carbon conversion factors change on an annual basis and this can have a significant effect on the </w:t>
      </w:r>
      <w:r w:rsidR="00602856">
        <w:t>carbon tonnage</w:t>
      </w:r>
      <w:r w:rsidR="009A32E2">
        <w:t xml:space="preserve"> </w:t>
      </w:r>
      <w:r w:rsidR="00BA3D4B">
        <w:t>from</w:t>
      </w:r>
      <w:r w:rsidR="009A32E2">
        <w:t xml:space="preserve"> each </w:t>
      </w:r>
      <w:r w:rsidR="00BA3D4B">
        <w:t xml:space="preserve">emission </w:t>
      </w:r>
      <w:r w:rsidR="009A32E2">
        <w:t>source, for example, the electricity conversion factor changes dependent on the mix of fuels used to create the electricity such as coal and renewables</w:t>
      </w:r>
      <w:r w:rsidR="00DE4418">
        <w:t xml:space="preserve"> and has decreased by </w:t>
      </w:r>
      <w:r w:rsidR="00EE5BBB">
        <w:t>5</w:t>
      </w:r>
      <w:r w:rsidR="006C2684">
        <w:t>1</w:t>
      </w:r>
      <w:r w:rsidR="00DE4418">
        <w:t xml:space="preserve">% </w:t>
      </w:r>
      <w:r w:rsidR="00602856">
        <w:t xml:space="preserve">between 2005-2006 and </w:t>
      </w:r>
      <w:r w:rsidR="00EE5BBB">
        <w:t>20</w:t>
      </w:r>
      <w:r w:rsidR="006C2684">
        <w:t>19-2020</w:t>
      </w:r>
      <w:r w:rsidR="00DE4418">
        <w:t xml:space="preserve">, gas has reduced by </w:t>
      </w:r>
      <w:r w:rsidR="006C2684">
        <w:t>0.6</w:t>
      </w:r>
      <w:r w:rsidR="00602856">
        <w:t>%</w:t>
      </w:r>
      <w:r w:rsidR="00DE4418">
        <w:t xml:space="preserve">, </w:t>
      </w:r>
      <w:r w:rsidR="00EE5BBB">
        <w:t>petrol</w:t>
      </w:r>
      <w:r w:rsidR="006C2684">
        <w:t xml:space="preserve"> by 6.4%</w:t>
      </w:r>
      <w:r w:rsidR="00EE5BBB">
        <w:t xml:space="preserve"> and diesel by </w:t>
      </w:r>
      <w:r w:rsidR="006C2684">
        <w:t>3.2</w:t>
      </w:r>
      <w:r w:rsidR="00EE5BBB">
        <w:t xml:space="preserve">%.  </w:t>
      </w:r>
      <w:r w:rsidR="00DE4418">
        <w:t xml:space="preserve">This decreasing trend is likely to continue, though not at the same rate, so cannot be relied upon to assure delivery of our carbon reduction target and has therefore not been taken into consideration when developing our pathway to achieve our targets.  It is </w:t>
      </w:r>
      <w:r w:rsidR="00A85693">
        <w:t xml:space="preserve">worth noting that </w:t>
      </w:r>
      <w:r w:rsidR="00B77587">
        <w:t xml:space="preserve">until 2009-2010 </w:t>
      </w:r>
      <w:r w:rsidR="00A85693">
        <w:t xml:space="preserve">the </w:t>
      </w:r>
      <w:r w:rsidR="00EE5BBB">
        <w:t>Government</w:t>
      </w:r>
      <w:r w:rsidR="00A85693">
        <w:t xml:space="preserve"> carbon conversion factors </w:t>
      </w:r>
      <w:r w:rsidR="00B77587">
        <w:t xml:space="preserve">did not </w:t>
      </w:r>
      <w:r w:rsidR="00A86369">
        <w:t>separate</w:t>
      </w:r>
      <w:r w:rsidR="00B77587">
        <w:t xml:space="preserve"> out the Scope 3 element of gas and fuel (petrol and diesel).  </w:t>
      </w:r>
    </w:p>
    <w:p w14:paraId="6CA53915" w14:textId="3E6FFE15" w:rsidR="009A32E2" w:rsidRDefault="009A32E2" w:rsidP="00A963A7">
      <w:pPr>
        <w:jc w:val="both"/>
      </w:pPr>
    </w:p>
    <w:p w14:paraId="08B51DE3" w14:textId="643AA8A1" w:rsidR="00EE5BBB" w:rsidRDefault="00B964D9" w:rsidP="00A963A7">
      <w:pPr>
        <w:jc w:val="both"/>
      </w:pPr>
      <w:r w:rsidRPr="00B964D9">
        <w:rPr>
          <w:b/>
          <w:bCs/>
        </w:rPr>
        <w:t>C</w:t>
      </w:r>
      <w:r w:rsidR="004C2BD6" w:rsidRPr="00B964D9">
        <w:rPr>
          <w:b/>
          <w:bCs/>
        </w:rPr>
        <w:t>onsumption</w:t>
      </w:r>
      <w:r>
        <w:t xml:space="preserve">.  It is worth noting the </w:t>
      </w:r>
      <w:r w:rsidR="004A7970">
        <w:t>reduction</w:t>
      </w:r>
      <w:r>
        <w:t xml:space="preserve"> in consumption of the Scope 1 and 2 emissions sources over time</w:t>
      </w:r>
      <w:r w:rsidR="00F76997">
        <w:t xml:space="preserve"> (Table 1)</w:t>
      </w:r>
      <w:r>
        <w:t xml:space="preserve"> </w:t>
      </w:r>
      <w:r w:rsidR="00F76997">
        <w:t xml:space="preserve">has also contributed to the decreasing carbon emissions; it is not just through the change </w:t>
      </w:r>
      <w:r>
        <w:t>in conversion factors.</w:t>
      </w:r>
      <w:r w:rsidR="00841DD8">
        <w:t xml:space="preserve">  Between 2005-2006 and </w:t>
      </w:r>
      <w:r w:rsidR="005D2621">
        <w:t>2019-2020</w:t>
      </w:r>
      <w:r w:rsidR="00841DD8">
        <w:t xml:space="preserve"> the consumption of gas has decreased by 27.3%, fuel (petrol and diesel) by 43% and electricity by 32.6%</w:t>
      </w:r>
      <w:r w:rsidR="00AD51A4">
        <w:t>; h</w:t>
      </w:r>
      <w:r w:rsidR="00841DD8">
        <w:t xml:space="preserve">owever, it must be noted that </w:t>
      </w:r>
      <w:r w:rsidR="00EE5BBB">
        <w:t>during the pandemic</w:t>
      </w:r>
      <w:r w:rsidR="00A86369">
        <w:t xml:space="preserve"> (March 2020 onwards)</w:t>
      </w:r>
      <w:r w:rsidR="00EE5BBB">
        <w:t xml:space="preserve"> operation and occupancy of the University has been unprecedented.  </w:t>
      </w:r>
    </w:p>
    <w:p w14:paraId="40D9D9E6" w14:textId="77777777" w:rsidR="008C7AB4" w:rsidRDefault="008C7AB4" w:rsidP="00A963A7">
      <w:pPr>
        <w:jc w:val="both"/>
      </w:pPr>
    </w:p>
    <w:p w14:paraId="31581958" w14:textId="414F105A" w:rsidR="008C7AB4" w:rsidRDefault="008C7AB4" w:rsidP="008C7AB4">
      <w:pPr>
        <w:jc w:val="both"/>
        <w:rPr>
          <w:b/>
          <w:bCs/>
          <w:sz w:val="20"/>
          <w:szCs w:val="20"/>
        </w:rPr>
      </w:pPr>
      <w:r w:rsidRPr="0054190C">
        <w:rPr>
          <w:b/>
          <w:bCs/>
          <w:sz w:val="20"/>
          <w:szCs w:val="20"/>
        </w:rPr>
        <w:t xml:space="preserve">Table </w:t>
      </w:r>
      <w:r>
        <w:rPr>
          <w:b/>
          <w:bCs/>
          <w:sz w:val="20"/>
          <w:szCs w:val="20"/>
        </w:rPr>
        <w:t>1</w:t>
      </w:r>
      <w:r w:rsidRPr="0054190C">
        <w:rPr>
          <w:b/>
          <w:bCs/>
          <w:sz w:val="20"/>
          <w:szCs w:val="20"/>
        </w:rPr>
        <w:t xml:space="preserve">. Scope </w:t>
      </w:r>
      <w:r>
        <w:rPr>
          <w:b/>
          <w:bCs/>
          <w:sz w:val="20"/>
          <w:szCs w:val="20"/>
        </w:rPr>
        <w:t xml:space="preserve">1 and 2 </w:t>
      </w:r>
      <w:r w:rsidR="00A04A36">
        <w:rPr>
          <w:b/>
          <w:bCs/>
          <w:sz w:val="20"/>
          <w:szCs w:val="20"/>
        </w:rPr>
        <w:t>consumption</w:t>
      </w:r>
      <w:r>
        <w:rPr>
          <w:b/>
          <w:bCs/>
          <w:sz w:val="20"/>
          <w:szCs w:val="20"/>
        </w:rPr>
        <w:t xml:space="preserve"> data </w:t>
      </w:r>
      <w:r w:rsidRPr="009D2104">
        <w:rPr>
          <w:b/>
          <w:bCs/>
          <w:sz w:val="20"/>
          <w:szCs w:val="20"/>
        </w:rPr>
        <w:t>between</w:t>
      </w:r>
      <w:r w:rsidRPr="0054190C">
        <w:rPr>
          <w:b/>
          <w:bCs/>
          <w:sz w:val="20"/>
          <w:szCs w:val="20"/>
        </w:rPr>
        <w:t xml:space="preserve"> 2005-2006 and </w:t>
      </w:r>
      <w:r w:rsidR="00211343">
        <w:rPr>
          <w:b/>
          <w:bCs/>
          <w:sz w:val="20"/>
          <w:szCs w:val="20"/>
        </w:rPr>
        <w:t>2019-2020</w:t>
      </w:r>
    </w:p>
    <w:p w14:paraId="7DBD9540" w14:textId="2F82381E" w:rsidR="00F76997" w:rsidRDefault="006C2684" w:rsidP="00A963A7">
      <w:pPr>
        <w:jc w:val="both"/>
      </w:pPr>
      <w:r w:rsidRPr="006C2684">
        <w:rPr>
          <w:noProof/>
        </w:rPr>
        <w:drawing>
          <wp:inline distT="0" distB="0" distL="0" distR="0" wp14:anchorId="65933F21" wp14:editId="3ADD21CD">
            <wp:extent cx="6645910" cy="687312"/>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5910" cy="687312"/>
                    </a:xfrm>
                    <a:prstGeom prst="rect">
                      <a:avLst/>
                    </a:prstGeom>
                    <a:noFill/>
                    <a:ln>
                      <a:noFill/>
                    </a:ln>
                  </pic:spPr>
                </pic:pic>
              </a:graphicData>
            </a:graphic>
          </wp:inline>
        </w:drawing>
      </w:r>
    </w:p>
    <w:p w14:paraId="7FE0B873" w14:textId="6B1121C4" w:rsidR="00B964D9" w:rsidRDefault="00B964D9" w:rsidP="00A963A7">
      <w:pPr>
        <w:jc w:val="both"/>
      </w:pPr>
    </w:p>
    <w:p w14:paraId="11DFE616" w14:textId="59D7B7FA" w:rsidR="00DB636D" w:rsidRDefault="001D178C" w:rsidP="003E0E8F">
      <w:pPr>
        <w:pStyle w:val="ListParagraph"/>
        <w:numPr>
          <w:ilvl w:val="0"/>
          <w:numId w:val="6"/>
        </w:numPr>
        <w:jc w:val="both"/>
        <w:rPr>
          <w:b/>
        </w:rPr>
      </w:pPr>
      <w:r>
        <w:rPr>
          <w:b/>
        </w:rPr>
        <w:t xml:space="preserve">Scope 3 emissions </w:t>
      </w:r>
    </w:p>
    <w:p w14:paraId="410D1071" w14:textId="18F7391B" w:rsidR="004D0928" w:rsidRDefault="00CC0792" w:rsidP="004A7970">
      <w:pPr>
        <w:jc w:val="both"/>
      </w:pPr>
      <w:r>
        <w:t>Carbon emissions are not available for all emission sources since the 2005-2</w:t>
      </w:r>
      <w:r w:rsidR="00D617E9">
        <w:t>0</w:t>
      </w:r>
      <w:r>
        <w:t xml:space="preserve">06 baseline because either the data was not collected and/or the carbon conversion factors or methodology were not available.  Where possible, the carbon emissions have been included for as long a time period as possible, </w:t>
      </w:r>
      <w:r w:rsidR="00D837DA" w:rsidRPr="004A7970">
        <w:t xml:space="preserve">see Table </w:t>
      </w:r>
      <w:r w:rsidR="004A7970" w:rsidRPr="004A7970">
        <w:t>2</w:t>
      </w:r>
      <w:r w:rsidR="00D837DA">
        <w:t>.  These emissions have a higher level of uncertainty</w:t>
      </w:r>
      <w:r w:rsidR="009D2104">
        <w:t xml:space="preserve"> than Scope 1 and 2 emissions</w:t>
      </w:r>
      <w:r w:rsidR="00D837DA">
        <w:t xml:space="preserve"> as in many cases assumptions have been made to calculate the data (for example, through the reliance on estimated data, the availability of data from third parties or the extrapolation of survey data)</w:t>
      </w:r>
      <w:r w:rsidR="00CA0189">
        <w:t xml:space="preserve">, details of which may be found </w:t>
      </w:r>
      <w:r w:rsidR="00CA0189" w:rsidRPr="004A7970">
        <w:t>in Appendix B</w:t>
      </w:r>
      <w:r w:rsidR="00226A3D" w:rsidRPr="004A7970">
        <w:t>.  T</w:t>
      </w:r>
      <w:r w:rsidR="00D837DA" w:rsidRPr="004A7970">
        <w:t>hese</w:t>
      </w:r>
      <w:r w:rsidR="00D837DA">
        <w:t xml:space="preserve"> emissions will be refined and </w:t>
      </w:r>
      <w:r w:rsidR="0054190C">
        <w:t xml:space="preserve">become </w:t>
      </w:r>
      <w:r w:rsidR="00D837DA">
        <w:t>more robus</w:t>
      </w:r>
      <w:r w:rsidR="0054190C">
        <w:t>t</w:t>
      </w:r>
      <w:r w:rsidR="00D837DA">
        <w:t xml:space="preserve"> over time as data is collected</w:t>
      </w:r>
      <w:r w:rsidR="0054190C">
        <w:t xml:space="preserve"> and methodologies are developed</w:t>
      </w:r>
      <w:r w:rsidR="00B200C0">
        <w:t xml:space="preserve"> and therefore it is expected that the Scope 3 emissions will dramatically increase</w:t>
      </w:r>
      <w:r>
        <w:t xml:space="preserve">, but </w:t>
      </w:r>
      <w:r w:rsidR="002B071D">
        <w:t>will provide a more complete picture of the University’s total carbon footprint</w:t>
      </w:r>
      <w:r w:rsidR="006146A8">
        <w:t xml:space="preserve">.  </w:t>
      </w:r>
      <w:r w:rsidR="004A7970">
        <w:t>To enable our complete carbon footprint to be calculated</w:t>
      </w:r>
      <w:r w:rsidR="001358F9">
        <w:t>,</w:t>
      </w:r>
      <w:r w:rsidR="004A7970">
        <w:t xml:space="preserve"> the </w:t>
      </w:r>
      <w:r w:rsidR="004D0928">
        <w:t xml:space="preserve">University is </w:t>
      </w:r>
      <w:r w:rsidR="00B77587">
        <w:t xml:space="preserve">working to collect all of the outstanding </w:t>
      </w:r>
      <w:r w:rsidR="004A7970">
        <w:t xml:space="preserve">internal </w:t>
      </w:r>
      <w:r w:rsidR="00B77587">
        <w:t>data</w:t>
      </w:r>
      <w:r w:rsidR="00F87736">
        <w:t xml:space="preserve"> </w:t>
      </w:r>
      <w:r w:rsidR="004A7970">
        <w:t>and is working with its suppliers and contractors to ensure that they supply the required data</w:t>
      </w:r>
      <w:r w:rsidR="00A86369">
        <w:t xml:space="preserve">.  </w:t>
      </w:r>
    </w:p>
    <w:p w14:paraId="32CA6D55" w14:textId="77777777" w:rsidR="008C7AB4" w:rsidRDefault="008C7AB4" w:rsidP="004A7970">
      <w:pPr>
        <w:jc w:val="both"/>
      </w:pPr>
    </w:p>
    <w:p w14:paraId="622047FC" w14:textId="678B04B4" w:rsidR="008C7AB4" w:rsidRPr="0054190C" w:rsidRDefault="008C7AB4" w:rsidP="008C7AB4">
      <w:pPr>
        <w:jc w:val="both"/>
        <w:rPr>
          <w:b/>
          <w:bCs/>
          <w:sz w:val="20"/>
          <w:szCs w:val="20"/>
        </w:rPr>
      </w:pPr>
      <w:r w:rsidRPr="0054190C">
        <w:rPr>
          <w:b/>
          <w:bCs/>
          <w:sz w:val="20"/>
          <w:szCs w:val="20"/>
        </w:rPr>
        <w:t xml:space="preserve">Table </w:t>
      </w:r>
      <w:r>
        <w:rPr>
          <w:b/>
          <w:bCs/>
          <w:sz w:val="20"/>
          <w:szCs w:val="20"/>
        </w:rPr>
        <w:t>2</w:t>
      </w:r>
      <w:r w:rsidRPr="0054190C">
        <w:rPr>
          <w:b/>
          <w:bCs/>
          <w:sz w:val="20"/>
          <w:szCs w:val="20"/>
        </w:rPr>
        <w:t xml:space="preserve">. Scope 3 </w:t>
      </w:r>
      <w:r w:rsidRPr="009D2104">
        <w:rPr>
          <w:b/>
          <w:bCs/>
          <w:sz w:val="20"/>
          <w:szCs w:val="20"/>
        </w:rPr>
        <w:t>emissions (</w:t>
      </w:r>
      <w:r w:rsidRPr="009D2104">
        <w:rPr>
          <w:b/>
          <w:sz w:val="20"/>
          <w:szCs w:val="20"/>
        </w:rPr>
        <w:t>tonnes CO</w:t>
      </w:r>
      <w:r w:rsidRPr="009D2104">
        <w:rPr>
          <w:b/>
          <w:sz w:val="20"/>
          <w:szCs w:val="20"/>
          <w:vertAlign w:val="subscript"/>
        </w:rPr>
        <w:t>2</w:t>
      </w:r>
      <w:r w:rsidRPr="009D2104">
        <w:rPr>
          <w:b/>
          <w:sz w:val="20"/>
          <w:szCs w:val="20"/>
        </w:rPr>
        <w:t>e</w:t>
      </w:r>
      <w:r w:rsidRPr="009D2104">
        <w:rPr>
          <w:b/>
          <w:bCs/>
          <w:sz w:val="20"/>
          <w:szCs w:val="20"/>
        </w:rPr>
        <w:t>) between</w:t>
      </w:r>
      <w:r w:rsidRPr="0054190C">
        <w:rPr>
          <w:b/>
          <w:bCs/>
          <w:sz w:val="20"/>
          <w:szCs w:val="20"/>
        </w:rPr>
        <w:t xml:space="preserve"> 2005-2006 and </w:t>
      </w:r>
      <w:r w:rsidR="006C2684">
        <w:rPr>
          <w:b/>
          <w:bCs/>
          <w:sz w:val="20"/>
          <w:szCs w:val="20"/>
        </w:rPr>
        <w:t>2019-2020</w:t>
      </w:r>
    </w:p>
    <w:p w14:paraId="1A6E4C40" w14:textId="4FD18302" w:rsidR="0054190C" w:rsidRDefault="006C2684" w:rsidP="004D0928">
      <w:pPr>
        <w:jc w:val="both"/>
      </w:pPr>
      <w:r w:rsidRPr="006C2684">
        <w:rPr>
          <w:noProof/>
        </w:rPr>
        <w:drawing>
          <wp:inline distT="0" distB="0" distL="0" distR="0" wp14:anchorId="3E6FA8CB" wp14:editId="6C423456">
            <wp:extent cx="6645910" cy="1652655"/>
            <wp:effectExtent l="0" t="0" r="254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5910" cy="1652655"/>
                    </a:xfrm>
                    <a:prstGeom prst="rect">
                      <a:avLst/>
                    </a:prstGeom>
                    <a:noFill/>
                    <a:ln>
                      <a:noFill/>
                    </a:ln>
                  </pic:spPr>
                </pic:pic>
              </a:graphicData>
            </a:graphic>
          </wp:inline>
        </w:drawing>
      </w:r>
    </w:p>
    <w:p w14:paraId="7AAE7411" w14:textId="0362F581" w:rsidR="00CC0792" w:rsidRDefault="00D617E9" w:rsidP="009D2104">
      <w:pPr>
        <w:jc w:val="both"/>
        <w:rPr>
          <w:sz w:val="20"/>
          <w:szCs w:val="20"/>
        </w:rPr>
      </w:pPr>
      <w:r>
        <w:rPr>
          <w:sz w:val="20"/>
          <w:szCs w:val="20"/>
        </w:rPr>
        <w:t>n</w:t>
      </w:r>
      <w:r w:rsidR="00CC0792">
        <w:rPr>
          <w:sz w:val="20"/>
          <w:szCs w:val="20"/>
        </w:rPr>
        <w:t xml:space="preserve">b, Business travel data </w:t>
      </w:r>
      <w:r w:rsidR="003B20E9">
        <w:rPr>
          <w:sz w:val="20"/>
          <w:szCs w:val="20"/>
        </w:rPr>
        <w:t>has been sourced as follows</w:t>
      </w:r>
      <w:r w:rsidR="00CC0792">
        <w:rPr>
          <w:sz w:val="20"/>
          <w:szCs w:val="20"/>
        </w:rPr>
        <w:t>– car hire data from hire company and fuel cards, grey fleet from travel and expense forms and air travel from the travel management company, other data sources have not been considered within the data shown here</w:t>
      </w:r>
    </w:p>
    <w:p w14:paraId="78E58599" w14:textId="1E4D8C52" w:rsidR="00CA0189" w:rsidRDefault="009D2104" w:rsidP="009D2104">
      <w:pPr>
        <w:jc w:val="both"/>
        <w:rPr>
          <w:sz w:val="20"/>
          <w:szCs w:val="20"/>
        </w:rPr>
      </w:pPr>
      <w:r w:rsidRPr="004D0928">
        <w:rPr>
          <w:sz w:val="20"/>
          <w:szCs w:val="20"/>
        </w:rPr>
        <w:t xml:space="preserve">nb, </w:t>
      </w:r>
      <w:r w:rsidR="00CA0189">
        <w:rPr>
          <w:sz w:val="20"/>
          <w:szCs w:val="20"/>
        </w:rPr>
        <w:t>Other modes of travel have not been included in the business travel emissions as they are not yet comparable over the years.</w:t>
      </w:r>
      <w:r w:rsidR="00B200C0">
        <w:rPr>
          <w:sz w:val="20"/>
          <w:szCs w:val="20"/>
        </w:rPr>
        <w:t xml:space="preserve">  </w:t>
      </w:r>
      <w:r w:rsidR="001358F9">
        <w:rPr>
          <w:sz w:val="20"/>
          <w:szCs w:val="20"/>
        </w:rPr>
        <w:t xml:space="preserve">nb, </w:t>
      </w:r>
      <w:r w:rsidR="00B200C0">
        <w:rPr>
          <w:sz w:val="20"/>
          <w:szCs w:val="20"/>
        </w:rPr>
        <w:t>Construction waste disposal figures are grossly underestimated as from 2015-2016 limited data has been provided by the building contractors.</w:t>
      </w:r>
      <w:r w:rsidR="00F87736">
        <w:rPr>
          <w:sz w:val="20"/>
          <w:szCs w:val="20"/>
        </w:rPr>
        <w:t xml:space="preserve">  </w:t>
      </w:r>
    </w:p>
    <w:p w14:paraId="155D26CC" w14:textId="77777777" w:rsidR="0054190C" w:rsidRDefault="0054190C" w:rsidP="004D0928">
      <w:pPr>
        <w:jc w:val="both"/>
      </w:pPr>
    </w:p>
    <w:p w14:paraId="06DA6B4D" w14:textId="54A04C30" w:rsidR="007E7262" w:rsidRDefault="007E7262" w:rsidP="004D0928">
      <w:pPr>
        <w:jc w:val="both"/>
        <w:rPr>
          <w:b/>
        </w:rPr>
      </w:pPr>
    </w:p>
    <w:p w14:paraId="38667253" w14:textId="77777777" w:rsidR="00D617E9" w:rsidRDefault="00D617E9">
      <w:pPr>
        <w:rPr>
          <w:b/>
          <w:sz w:val="20"/>
          <w:szCs w:val="20"/>
        </w:rPr>
      </w:pPr>
      <w:r>
        <w:rPr>
          <w:b/>
          <w:sz w:val="20"/>
          <w:szCs w:val="20"/>
        </w:rPr>
        <w:br w:type="page"/>
      </w:r>
    </w:p>
    <w:p w14:paraId="66AF339C" w14:textId="54A07554" w:rsidR="004D0928" w:rsidRDefault="004D0928" w:rsidP="003E0E8F">
      <w:pPr>
        <w:pStyle w:val="ListParagraph"/>
        <w:numPr>
          <w:ilvl w:val="0"/>
          <w:numId w:val="6"/>
        </w:numPr>
        <w:jc w:val="both"/>
        <w:rPr>
          <w:b/>
        </w:rPr>
      </w:pPr>
      <w:r>
        <w:rPr>
          <w:b/>
        </w:rPr>
        <w:lastRenderedPageBreak/>
        <w:t xml:space="preserve">Total carbon footprint 2005-2006 to </w:t>
      </w:r>
      <w:r w:rsidR="006C2684">
        <w:rPr>
          <w:b/>
        </w:rPr>
        <w:t>2019-2020</w:t>
      </w:r>
    </w:p>
    <w:p w14:paraId="4E74EEA7" w14:textId="28BE3BA1" w:rsidR="00B200C0" w:rsidRDefault="00CA0189" w:rsidP="009305FD">
      <w:pPr>
        <w:jc w:val="both"/>
      </w:pPr>
      <w:r>
        <w:t xml:space="preserve">The University’s total carbon footprint </w:t>
      </w:r>
      <w:r w:rsidR="00B200C0">
        <w:t xml:space="preserve">has been variable since 2005-2006 because of the availability of Scope 3 emissions, but since 2012-2013 (when comparable data sources are available) the carbon footprint has been decreasing.  </w:t>
      </w:r>
      <w:r w:rsidR="007E7262">
        <w:t xml:space="preserve">However, as additional Scope 3 emissions are </w:t>
      </w:r>
      <w:r w:rsidR="0041332D">
        <w:t>included,</w:t>
      </w:r>
      <w:r w:rsidR="007E7262">
        <w:t xml:space="preserve"> and </w:t>
      </w:r>
      <w:r w:rsidR="00285DAB">
        <w:t xml:space="preserve">data </w:t>
      </w:r>
      <w:r w:rsidR="007E7262">
        <w:t>become</w:t>
      </w:r>
      <w:r w:rsidR="00285DAB">
        <w:t xml:space="preserve">s </w:t>
      </w:r>
      <w:r w:rsidR="007E7262">
        <w:t>more robust</w:t>
      </w:r>
      <w:r w:rsidR="00D7268C">
        <w:t>,</w:t>
      </w:r>
      <w:r w:rsidR="007E7262">
        <w:t xml:space="preserve"> this is liable to change</w:t>
      </w:r>
      <w:r w:rsidR="00DA09D8">
        <w:t>; the Plan will be updated as required to reflect this.</w:t>
      </w:r>
    </w:p>
    <w:p w14:paraId="039FE5AF" w14:textId="77777777" w:rsidR="00CA287C" w:rsidRDefault="00CA287C" w:rsidP="00CA287C">
      <w:pPr>
        <w:jc w:val="both"/>
      </w:pPr>
    </w:p>
    <w:p w14:paraId="4E035ABF" w14:textId="27360EDF" w:rsidR="00CA287C" w:rsidRDefault="00CA287C" w:rsidP="00CA287C">
      <w:pPr>
        <w:jc w:val="both"/>
      </w:pPr>
      <w:r>
        <w:t xml:space="preserve">Using the available data </w:t>
      </w:r>
      <w:r w:rsidR="001358F9">
        <w:t>S</w:t>
      </w:r>
      <w:r>
        <w:t>cope 3 emissions accounts for the majority (~70%) of the University’s carbon footprint (Figure 2) highlighting their significance and showing us the magnitude of the task ahead to reach net zero.  Procurement is the largest of the known Scope 3 emissions (</w:t>
      </w:r>
      <w:r w:rsidR="006C2684">
        <w:t>68</w:t>
      </w:r>
      <w:r>
        <w:t>%) contributing ~</w:t>
      </w:r>
      <w:r w:rsidR="006C2684">
        <w:t>50</w:t>
      </w:r>
      <w:r>
        <w:t>% of the total carbon emissions; this will be an important emissions source to further analyse and investigate to reduce emissions.</w:t>
      </w:r>
    </w:p>
    <w:p w14:paraId="62FE2181" w14:textId="5F567FE6" w:rsidR="0065197C" w:rsidRDefault="0065197C">
      <w:pPr>
        <w:rPr>
          <w:b/>
        </w:rPr>
      </w:pPr>
    </w:p>
    <w:p w14:paraId="14757226" w14:textId="26F5E85F" w:rsidR="00A86369" w:rsidRDefault="00A86369">
      <w:pPr>
        <w:rPr>
          <w:b/>
        </w:rPr>
      </w:pPr>
      <w:r>
        <w:rPr>
          <w:b/>
          <w:noProof/>
        </w:rPr>
        <w:drawing>
          <wp:inline distT="0" distB="0" distL="0" distR="0" wp14:anchorId="42E03A76" wp14:editId="2F2F9251">
            <wp:extent cx="6605312" cy="4320000"/>
            <wp:effectExtent l="0" t="0" r="508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05312" cy="4320000"/>
                    </a:xfrm>
                    <a:prstGeom prst="rect">
                      <a:avLst/>
                    </a:prstGeom>
                    <a:noFill/>
                  </pic:spPr>
                </pic:pic>
              </a:graphicData>
            </a:graphic>
          </wp:inline>
        </w:drawing>
      </w:r>
    </w:p>
    <w:p w14:paraId="625BFC0A" w14:textId="77777777" w:rsidR="00A86369" w:rsidRPr="00AD51A4" w:rsidRDefault="00A86369" w:rsidP="00A86369">
      <w:pPr>
        <w:jc w:val="both"/>
        <w:rPr>
          <w:b/>
          <w:sz w:val="20"/>
          <w:szCs w:val="20"/>
        </w:rPr>
      </w:pPr>
      <w:r w:rsidRPr="00AD51A4">
        <w:rPr>
          <w:b/>
          <w:sz w:val="20"/>
          <w:szCs w:val="20"/>
        </w:rPr>
        <w:t xml:space="preserve">Figure 2.  Carbon footprint (Scope 1, 2 and 3 emissions) between 2005-2006 and </w:t>
      </w:r>
      <w:r>
        <w:rPr>
          <w:b/>
          <w:sz w:val="20"/>
          <w:szCs w:val="20"/>
        </w:rPr>
        <w:t>2019-2020</w:t>
      </w:r>
    </w:p>
    <w:p w14:paraId="01161875" w14:textId="77777777" w:rsidR="00A86369" w:rsidRDefault="00A86369">
      <w:pPr>
        <w:rPr>
          <w:b/>
        </w:rPr>
      </w:pPr>
    </w:p>
    <w:p w14:paraId="3FE7B6D0" w14:textId="3E0FFF4F" w:rsidR="00CA287C" w:rsidRDefault="00CA287C" w:rsidP="00CA287C">
      <w:pPr>
        <w:pStyle w:val="ListParagraph"/>
        <w:numPr>
          <w:ilvl w:val="0"/>
          <w:numId w:val="6"/>
        </w:numPr>
        <w:rPr>
          <w:b/>
        </w:rPr>
      </w:pPr>
      <w:r>
        <w:rPr>
          <w:b/>
        </w:rPr>
        <w:t>Carbon reduction projects</w:t>
      </w:r>
    </w:p>
    <w:p w14:paraId="5B82F1BD" w14:textId="5B27D9F2" w:rsidR="00CA287C" w:rsidRDefault="00CA287C" w:rsidP="00CA287C">
      <w:pPr>
        <w:jc w:val="both"/>
        <w:rPr>
          <w:rFonts w:cstheme="minorHAnsi"/>
        </w:rPr>
      </w:pPr>
      <w:r>
        <w:rPr>
          <w:rFonts w:cstheme="minorHAnsi"/>
        </w:rPr>
        <w:t xml:space="preserve">To reduce our consumption and carbon emissions between 2005-2006 and </w:t>
      </w:r>
      <w:r w:rsidR="006C2684">
        <w:rPr>
          <w:rFonts w:cstheme="minorHAnsi"/>
        </w:rPr>
        <w:t>2019-2020</w:t>
      </w:r>
      <w:r>
        <w:rPr>
          <w:rFonts w:cstheme="minorHAnsi"/>
        </w:rPr>
        <w:t xml:space="preserve"> we identified, quantified and implemented many carbon reduction projects.  These projects were predominately aimed at reducing Scope 1 and 2 emissions (focussing on gas and electricity) and include technological projects and awareness and engagement activities; of particular note are:</w:t>
      </w:r>
    </w:p>
    <w:p w14:paraId="4980B647" w14:textId="77777777" w:rsidR="00CA287C" w:rsidRDefault="00CA287C" w:rsidP="00CA287C">
      <w:pPr>
        <w:pStyle w:val="ListParagraph"/>
        <w:numPr>
          <w:ilvl w:val="0"/>
          <w:numId w:val="24"/>
        </w:numPr>
        <w:jc w:val="both"/>
        <w:rPr>
          <w:rFonts w:cstheme="minorHAnsi"/>
        </w:rPr>
      </w:pPr>
      <w:r>
        <w:rPr>
          <w:rFonts w:cstheme="minorHAnsi"/>
        </w:rPr>
        <w:t xml:space="preserve">Installation of gas and electricity sub and automatic meter reads across campus enabling reliable and accurate building specific consumption data on a building by building level across most of the building </w:t>
      </w:r>
      <w:r w:rsidRPr="00F834A1">
        <w:rPr>
          <w:rFonts w:cstheme="minorHAnsi"/>
        </w:rPr>
        <w:t>portfolio (gas meters cover ~54% of total consumption and electricity meters cover ~60% of total consumption).</w:t>
      </w:r>
      <w:r>
        <w:rPr>
          <w:rFonts w:cstheme="minorHAnsi"/>
        </w:rPr>
        <w:t xml:space="preserve">  This enables usage to be analysed (how, when and where) to identify any wastage (i.e. out of hours consumption) and strategically target programs of work (such as prioritising projects in the highest consuming buildings); it also allows us to track and report on installed carbon reduction projects.  The University is continuing to identify locations to improve our metering infrastructure.</w:t>
      </w:r>
    </w:p>
    <w:p w14:paraId="69DD9ABB" w14:textId="77777777" w:rsidR="00CA287C" w:rsidRDefault="00CA287C" w:rsidP="00CA287C">
      <w:pPr>
        <w:pStyle w:val="ListParagraph"/>
        <w:numPr>
          <w:ilvl w:val="0"/>
          <w:numId w:val="24"/>
        </w:numPr>
        <w:jc w:val="both"/>
        <w:rPr>
          <w:rFonts w:cstheme="minorHAnsi"/>
        </w:rPr>
      </w:pPr>
      <w:r>
        <w:rPr>
          <w:rFonts w:cstheme="minorHAnsi"/>
        </w:rPr>
        <w:t>Installation and continued fine-tuning of the Building Management System across campus and linking the controls to a central location to enable the optimisation of heating and hot water settings</w:t>
      </w:r>
    </w:p>
    <w:p w14:paraId="7585E913" w14:textId="77777777" w:rsidR="00CA287C" w:rsidRDefault="00CA287C" w:rsidP="00CA287C">
      <w:pPr>
        <w:pStyle w:val="ListParagraph"/>
        <w:numPr>
          <w:ilvl w:val="0"/>
          <w:numId w:val="24"/>
        </w:numPr>
        <w:jc w:val="both"/>
        <w:rPr>
          <w:rFonts w:cstheme="minorHAnsi"/>
        </w:rPr>
      </w:pPr>
      <w:r>
        <w:rPr>
          <w:rFonts w:cstheme="minorHAnsi"/>
        </w:rPr>
        <w:t>Rolling programme of LED and control installation</w:t>
      </w:r>
    </w:p>
    <w:p w14:paraId="2D4B6262" w14:textId="77777777" w:rsidR="00CA287C" w:rsidRDefault="00CA287C" w:rsidP="00CA287C">
      <w:pPr>
        <w:pStyle w:val="ListParagraph"/>
        <w:numPr>
          <w:ilvl w:val="0"/>
          <w:numId w:val="24"/>
        </w:numPr>
        <w:jc w:val="both"/>
        <w:rPr>
          <w:rFonts w:cstheme="minorHAnsi"/>
        </w:rPr>
      </w:pPr>
      <w:r>
        <w:rPr>
          <w:rFonts w:cstheme="minorHAnsi"/>
        </w:rPr>
        <w:t>Boiler replacements with energy efficient models, installation of TRVs and decentralising where possible</w:t>
      </w:r>
    </w:p>
    <w:p w14:paraId="400A1368" w14:textId="4FD44B97" w:rsidR="00CA287C" w:rsidRDefault="00CA287C" w:rsidP="00CA287C">
      <w:pPr>
        <w:pStyle w:val="ListParagraph"/>
        <w:numPr>
          <w:ilvl w:val="0"/>
          <w:numId w:val="24"/>
        </w:numPr>
        <w:jc w:val="both"/>
        <w:rPr>
          <w:rFonts w:cstheme="minorHAnsi"/>
        </w:rPr>
      </w:pPr>
      <w:r>
        <w:rPr>
          <w:rFonts w:cstheme="minorHAnsi"/>
        </w:rPr>
        <w:t>Heating Policy</w:t>
      </w:r>
      <w:r w:rsidR="00A86369">
        <w:rPr>
          <w:rFonts w:cstheme="minorHAnsi"/>
        </w:rPr>
        <w:t xml:space="preserve"> published </w:t>
      </w:r>
      <w:r>
        <w:rPr>
          <w:rFonts w:cstheme="minorHAnsi"/>
        </w:rPr>
        <w:t>setting out the heating and comfort expectations</w:t>
      </w:r>
    </w:p>
    <w:p w14:paraId="5D975366" w14:textId="77777777" w:rsidR="00CA287C" w:rsidRDefault="00CA287C" w:rsidP="00CA287C">
      <w:pPr>
        <w:pStyle w:val="ListParagraph"/>
        <w:numPr>
          <w:ilvl w:val="0"/>
          <w:numId w:val="24"/>
        </w:numPr>
        <w:jc w:val="both"/>
        <w:rPr>
          <w:rFonts w:cstheme="minorHAnsi"/>
        </w:rPr>
      </w:pPr>
      <w:r>
        <w:rPr>
          <w:rFonts w:cstheme="minorHAnsi"/>
        </w:rPr>
        <w:t>Consolidated evening and weekend teaching into the most efficient buildings</w:t>
      </w:r>
    </w:p>
    <w:p w14:paraId="116748FF" w14:textId="77777777" w:rsidR="00CA287C" w:rsidRDefault="00CA287C" w:rsidP="00CA287C">
      <w:pPr>
        <w:pStyle w:val="ListParagraph"/>
        <w:numPr>
          <w:ilvl w:val="0"/>
          <w:numId w:val="24"/>
        </w:numPr>
        <w:jc w:val="both"/>
        <w:rPr>
          <w:rFonts w:cstheme="minorHAnsi"/>
        </w:rPr>
      </w:pPr>
      <w:r>
        <w:rPr>
          <w:rFonts w:cstheme="minorHAnsi"/>
        </w:rPr>
        <w:lastRenderedPageBreak/>
        <w:t>Internal w</w:t>
      </w:r>
      <w:r w:rsidRPr="008820CE">
        <w:rPr>
          <w:rFonts w:cstheme="minorHAnsi"/>
        </w:rPr>
        <w:t xml:space="preserve">aste and </w:t>
      </w:r>
      <w:r>
        <w:rPr>
          <w:rFonts w:cstheme="minorHAnsi"/>
        </w:rPr>
        <w:t>r</w:t>
      </w:r>
      <w:r w:rsidRPr="008820CE">
        <w:rPr>
          <w:rFonts w:cstheme="minorHAnsi"/>
        </w:rPr>
        <w:t xml:space="preserve">ecycling </w:t>
      </w:r>
      <w:r>
        <w:rPr>
          <w:rFonts w:cstheme="minorHAnsi"/>
        </w:rPr>
        <w:t>bins throughout the campus</w:t>
      </w:r>
    </w:p>
    <w:p w14:paraId="4268296A" w14:textId="6F182A78" w:rsidR="00CA287C" w:rsidRDefault="00CA287C" w:rsidP="00CA287C">
      <w:pPr>
        <w:pStyle w:val="ListParagraph"/>
        <w:numPr>
          <w:ilvl w:val="0"/>
          <w:numId w:val="24"/>
        </w:numPr>
        <w:jc w:val="both"/>
        <w:rPr>
          <w:rFonts w:cstheme="minorHAnsi"/>
        </w:rPr>
      </w:pPr>
      <w:r>
        <w:rPr>
          <w:rFonts w:cstheme="minorHAnsi"/>
        </w:rPr>
        <w:t xml:space="preserve">Increased </w:t>
      </w:r>
      <w:r w:rsidR="00A86369">
        <w:rPr>
          <w:rFonts w:cstheme="minorHAnsi"/>
        </w:rPr>
        <w:t xml:space="preserve">the </w:t>
      </w:r>
      <w:r>
        <w:rPr>
          <w:rFonts w:cstheme="minorHAnsi"/>
        </w:rPr>
        <w:t>number of covered cycle shelters across campus</w:t>
      </w:r>
    </w:p>
    <w:p w14:paraId="3109ABFD" w14:textId="763514FC" w:rsidR="00CA287C" w:rsidRPr="00B33FA8" w:rsidRDefault="00CA287C" w:rsidP="00CA287C">
      <w:pPr>
        <w:pStyle w:val="ListParagraph"/>
        <w:numPr>
          <w:ilvl w:val="0"/>
          <w:numId w:val="24"/>
        </w:numPr>
        <w:jc w:val="both"/>
        <w:rPr>
          <w:rFonts w:cstheme="minorHAnsi"/>
        </w:rPr>
      </w:pPr>
      <w:r w:rsidRPr="00B33FA8">
        <w:rPr>
          <w:rFonts w:cstheme="minorHAnsi"/>
        </w:rPr>
        <w:t xml:space="preserve">The University launched the NUS’s Green Impact and Student Switch </w:t>
      </w:r>
      <w:r w:rsidRPr="00ED15BE">
        <w:rPr>
          <w:rFonts w:cstheme="minorHAnsi"/>
        </w:rPr>
        <w:t>Off challenge in 2012-2013 but brought</w:t>
      </w:r>
      <w:r w:rsidRPr="00B33FA8">
        <w:rPr>
          <w:rFonts w:cstheme="minorHAnsi"/>
        </w:rPr>
        <w:t xml:space="preserve"> the challenges </w:t>
      </w:r>
      <w:r w:rsidRPr="002D68C6">
        <w:rPr>
          <w:rFonts w:cstheme="minorHAnsi"/>
        </w:rPr>
        <w:t>in house in 2016-2017 as the</w:t>
      </w:r>
      <w:r w:rsidRPr="00B33FA8">
        <w:rPr>
          <w:rFonts w:cstheme="minorHAnsi"/>
        </w:rPr>
        <w:t xml:space="preserve"> I </w:t>
      </w:r>
      <w:r w:rsidRPr="00B33FA8">
        <w:rPr>
          <w:rFonts w:ascii="Arial" w:hAnsi="Arial" w:cs="Arial"/>
        </w:rPr>
        <w:t>♥</w:t>
      </w:r>
      <w:r w:rsidRPr="00B33FA8">
        <w:rPr>
          <w:rFonts w:cstheme="minorHAnsi"/>
        </w:rPr>
        <w:t xml:space="preserve"> My Campus Challenge.  The schemes are staff and student competitions to complete actions across the sustainability key impact areas (identified within the </w:t>
      </w:r>
      <w:r w:rsidR="00A86369">
        <w:rPr>
          <w:rFonts w:cstheme="minorHAnsi"/>
        </w:rPr>
        <w:t xml:space="preserve">Environmental </w:t>
      </w:r>
      <w:r w:rsidRPr="00B33FA8">
        <w:rPr>
          <w:rFonts w:cstheme="minorHAnsi"/>
        </w:rPr>
        <w:t>Sustainability Policy) and be rewarded for their actions</w:t>
      </w:r>
      <w:r w:rsidR="00F44EF8">
        <w:rPr>
          <w:rFonts w:cstheme="minorHAnsi"/>
        </w:rPr>
        <w:t xml:space="preserve">.  </w:t>
      </w:r>
    </w:p>
    <w:p w14:paraId="06C25304" w14:textId="77777777" w:rsidR="00CA287C" w:rsidRPr="00CA287C" w:rsidRDefault="00CA287C" w:rsidP="00CA287C">
      <w:pPr>
        <w:rPr>
          <w:b/>
        </w:rPr>
      </w:pPr>
    </w:p>
    <w:p w14:paraId="6DA905E2" w14:textId="308B1700" w:rsidR="007F4668" w:rsidRPr="00186807" w:rsidRDefault="00E26C3A" w:rsidP="00186807">
      <w:pPr>
        <w:pStyle w:val="ListParagraph"/>
        <w:numPr>
          <w:ilvl w:val="0"/>
          <w:numId w:val="1"/>
        </w:numPr>
        <w:jc w:val="both"/>
        <w:rPr>
          <w:b/>
        </w:rPr>
      </w:pPr>
      <w:r>
        <w:rPr>
          <w:b/>
        </w:rPr>
        <w:t xml:space="preserve">CARBON REDUCTION </w:t>
      </w:r>
      <w:r w:rsidR="00D45FA6">
        <w:rPr>
          <w:b/>
        </w:rPr>
        <w:t>TARGETS</w:t>
      </w:r>
    </w:p>
    <w:p w14:paraId="0853A471" w14:textId="0B811027" w:rsidR="006E3670" w:rsidRDefault="006E3670" w:rsidP="006E3670">
      <w:pPr>
        <w:jc w:val="both"/>
      </w:pPr>
    </w:p>
    <w:p w14:paraId="6066D09B" w14:textId="159174A4" w:rsidR="007A2B55" w:rsidRDefault="003B20E9" w:rsidP="006E3670">
      <w:pPr>
        <w:jc w:val="both"/>
      </w:pPr>
      <w:r>
        <w:t xml:space="preserve">Carbon reduction targets have been set to </w:t>
      </w:r>
      <w:r w:rsidR="00F553B9">
        <w:t xml:space="preserve">ensure that we comply with </w:t>
      </w:r>
      <w:r w:rsidR="00215EC3">
        <w:t xml:space="preserve">national, international and sector commitments, </w:t>
      </w:r>
      <w:r>
        <w:t>contribute to a more sustainable future and improve our environmental impact</w:t>
      </w:r>
      <w:r w:rsidR="00215EC3">
        <w:t xml:space="preserve"> as set out within the University’s strategic plans</w:t>
      </w:r>
      <w:r w:rsidR="00F553B9">
        <w:t xml:space="preserve">, fulfil stakeholder expectations and </w:t>
      </w:r>
      <w:r>
        <w:t xml:space="preserve">stay true to </w:t>
      </w:r>
      <w:r w:rsidR="00F553B9">
        <w:t>the University’s</w:t>
      </w:r>
      <w:r>
        <w:t xml:space="preserve"> philosophy,</w:t>
      </w:r>
      <w:r w:rsidR="00F553B9">
        <w:t xml:space="preserve"> mission and values</w:t>
      </w:r>
      <w:r>
        <w:t xml:space="preserve">.  </w:t>
      </w:r>
      <w:r w:rsidR="007A2B55">
        <w:t>The University has set a clear and ambitious carbon reduction target to achieve net zero by:</w:t>
      </w:r>
    </w:p>
    <w:p w14:paraId="1C9F9E43" w14:textId="77777777" w:rsidR="007A2B55" w:rsidRDefault="007A2B55" w:rsidP="006E3670">
      <w:pPr>
        <w:jc w:val="both"/>
      </w:pPr>
    </w:p>
    <w:p w14:paraId="6336B136" w14:textId="1C0075A0" w:rsidR="007A2B55" w:rsidRPr="00CC0792" w:rsidRDefault="007A2B55" w:rsidP="007A2B55">
      <w:pPr>
        <w:jc w:val="center"/>
        <w:rPr>
          <w:b/>
          <w:bCs/>
        </w:rPr>
      </w:pPr>
      <w:r w:rsidRPr="00CC0792">
        <w:rPr>
          <w:b/>
          <w:bCs/>
        </w:rPr>
        <w:t>2040 (Scope 1 and 2 emissions)</w:t>
      </w:r>
    </w:p>
    <w:p w14:paraId="58AD447B" w14:textId="156C2031" w:rsidR="007A2B55" w:rsidRPr="00CC0792" w:rsidRDefault="000D5B77" w:rsidP="007A2B55">
      <w:pPr>
        <w:jc w:val="center"/>
        <w:rPr>
          <w:b/>
          <w:bCs/>
        </w:rPr>
      </w:pPr>
      <w:r w:rsidRPr="00CC0792">
        <w:rPr>
          <w:b/>
          <w:bCs/>
        </w:rPr>
        <w:t>a</w:t>
      </w:r>
      <w:r w:rsidR="007A2B55" w:rsidRPr="00CC0792">
        <w:rPr>
          <w:b/>
          <w:bCs/>
        </w:rPr>
        <w:t>nd</w:t>
      </w:r>
    </w:p>
    <w:p w14:paraId="7F398241" w14:textId="43ABA59C" w:rsidR="007A2B55" w:rsidRPr="00CC0792" w:rsidRDefault="007A2B55" w:rsidP="007A2B55">
      <w:pPr>
        <w:jc w:val="center"/>
        <w:rPr>
          <w:b/>
          <w:bCs/>
        </w:rPr>
      </w:pPr>
      <w:r w:rsidRPr="00CC0792">
        <w:rPr>
          <w:b/>
          <w:bCs/>
        </w:rPr>
        <w:t>2050 (Scope 3 emissions)</w:t>
      </w:r>
    </w:p>
    <w:p w14:paraId="67B86B26" w14:textId="2AFD2F09" w:rsidR="007A2B55" w:rsidRDefault="007A2B55" w:rsidP="006E3670">
      <w:pPr>
        <w:jc w:val="both"/>
      </w:pPr>
    </w:p>
    <w:p w14:paraId="599E13A0" w14:textId="30ACBC2E" w:rsidR="00F553B9" w:rsidRDefault="00F553B9" w:rsidP="00F553B9">
      <w:pPr>
        <w:jc w:val="both"/>
      </w:pPr>
      <w:r>
        <w:t xml:space="preserve">The Scope 3 emission target date will be reviewed once we have collected and analysed all the relevant data and we know the full extent of our emissions.  These reduction targets are absolute targets i.e. they are not relative to metrics such as FTE, GIA or turnover; though these </w:t>
      </w:r>
      <w:r w:rsidR="00117B94">
        <w:t xml:space="preserve">are </w:t>
      </w:r>
      <w:r>
        <w:t>monitored and used to assess the performance of the University</w:t>
      </w:r>
      <w:r w:rsidR="00117B94">
        <w:t xml:space="preserve"> within the annual </w:t>
      </w:r>
      <w:r w:rsidR="00117B94">
        <w:t>financial statements</w:t>
      </w:r>
      <w:r>
        <w:t xml:space="preserve">.  </w:t>
      </w:r>
    </w:p>
    <w:p w14:paraId="55BBC094" w14:textId="77777777" w:rsidR="00F553B9" w:rsidRDefault="00F553B9" w:rsidP="000D5B77">
      <w:pPr>
        <w:jc w:val="both"/>
      </w:pPr>
    </w:p>
    <w:p w14:paraId="12D9BB63" w14:textId="328F5802" w:rsidR="00751187" w:rsidRDefault="003B20E9" w:rsidP="0025357C">
      <w:pPr>
        <w:jc w:val="both"/>
      </w:pPr>
      <w:r>
        <w:t>Dependence on the emission sources is unavoidable</w:t>
      </w:r>
      <w:r w:rsidR="00215EC3">
        <w:t xml:space="preserve"> and</w:t>
      </w:r>
      <w:r>
        <w:t xml:space="preserve"> the</w:t>
      </w:r>
      <w:r w:rsidR="00751187">
        <w:t xml:space="preserve"> challenge is to maintain, and where possible increase, the level of progress already achieved in reducing carbon emissions.  This will require a continuous review of operational policies and procedures; investment in carbon reduction projects</w:t>
      </w:r>
      <w:r w:rsidR="00A03296">
        <w:t xml:space="preserve"> (section 6)</w:t>
      </w:r>
      <w:r w:rsidR="00751187">
        <w:t>; financial and staff resources; and awareness raising and engagement with the University community.</w:t>
      </w:r>
    </w:p>
    <w:p w14:paraId="40300A43" w14:textId="0E067566" w:rsidR="0025357C" w:rsidRDefault="0025357C" w:rsidP="0025357C">
      <w:pPr>
        <w:jc w:val="both"/>
      </w:pPr>
    </w:p>
    <w:p w14:paraId="28D2815A" w14:textId="6300B8FF" w:rsidR="0025357C" w:rsidRPr="005D2621" w:rsidRDefault="0025357C" w:rsidP="005D2621">
      <w:pPr>
        <w:pStyle w:val="ListParagraph"/>
        <w:numPr>
          <w:ilvl w:val="0"/>
          <w:numId w:val="36"/>
        </w:numPr>
        <w:jc w:val="both"/>
        <w:rPr>
          <w:b/>
        </w:rPr>
      </w:pPr>
      <w:r w:rsidRPr="005D2621">
        <w:rPr>
          <w:b/>
        </w:rPr>
        <w:t>Carbon Reduction Target 2020-2025</w:t>
      </w:r>
    </w:p>
    <w:p w14:paraId="0CEDDA85" w14:textId="77777777" w:rsidR="005D2621" w:rsidRDefault="005D2621" w:rsidP="0025357C">
      <w:pPr>
        <w:jc w:val="both"/>
      </w:pPr>
    </w:p>
    <w:p w14:paraId="0D7ECEFD" w14:textId="57ED45DF" w:rsidR="0025357C" w:rsidRPr="005D2621" w:rsidRDefault="001C257D" w:rsidP="005D2621">
      <w:pPr>
        <w:jc w:val="center"/>
        <w:rPr>
          <w:b/>
        </w:rPr>
      </w:pPr>
      <w:r>
        <w:rPr>
          <w:b/>
        </w:rPr>
        <w:t>25</w:t>
      </w:r>
      <w:r w:rsidR="005D2621" w:rsidRPr="005D2621">
        <w:rPr>
          <w:b/>
        </w:rPr>
        <w:t xml:space="preserve">% reduction </w:t>
      </w:r>
      <w:r w:rsidR="005D2621">
        <w:rPr>
          <w:b/>
        </w:rPr>
        <w:t>by 20</w:t>
      </w:r>
      <w:r w:rsidR="005D2621" w:rsidRPr="005D2621">
        <w:rPr>
          <w:b/>
        </w:rPr>
        <w:t>25</w:t>
      </w:r>
      <w:r w:rsidR="005D2621">
        <w:rPr>
          <w:b/>
        </w:rPr>
        <w:t xml:space="preserve"> (Scope 1 and 2)</w:t>
      </w:r>
    </w:p>
    <w:p w14:paraId="71F38FD2" w14:textId="77777777" w:rsidR="005D2621" w:rsidRDefault="005D2621" w:rsidP="0025357C">
      <w:pPr>
        <w:jc w:val="both"/>
      </w:pPr>
    </w:p>
    <w:p w14:paraId="692A665C" w14:textId="5DD46419" w:rsidR="0025357C" w:rsidRDefault="005D2621" w:rsidP="0025357C">
      <w:pPr>
        <w:jc w:val="both"/>
      </w:pPr>
      <w:r>
        <w:t>To progress towards net zero a</w:t>
      </w:r>
      <w:r w:rsidR="00C1088B">
        <w:t xml:space="preserve"> five-year</w:t>
      </w:r>
      <w:r>
        <w:t xml:space="preserve"> interim target</w:t>
      </w:r>
      <w:r w:rsidR="0077027E">
        <w:t xml:space="preserve"> of a 25% reduction</w:t>
      </w:r>
      <w:r>
        <w:t xml:space="preserve"> has been set</w:t>
      </w:r>
      <w:r w:rsidR="0077027E">
        <w:t xml:space="preserve"> from the 2019-2020 baseline (2535 tonnes CO</w:t>
      </w:r>
      <w:r w:rsidR="0077027E">
        <w:rPr>
          <w:vertAlign w:val="subscript"/>
        </w:rPr>
        <w:t>2</w:t>
      </w:r>
      <w:r w:rsidR="0077027E">
        <w:t xml:space="preserve">e) </w:t>
      </w:r>
      <w:r>
        <w:t xml:space="preserve">to 2024-2025 </w:t>
      </w:r>
      <w:r w:rsidR="0077027E">
        <w:t>(1910 tonnes CO</w:t>
      </w:r>
      <w:r w:rsidR="0077027E">
        <w:rPr>
          <w:vertAlign w:val="subscript"/>
        </w:rPr>
        <w:t>2</w:t>
      </w:r>
      <w:r w:rsidR="0077027E">
        <w:t xml:space="preserve">e) </w:t>
      </w:r>
      <w:r w:rsidR="00C1088B">
        <w:t xml:space="preserve">i.e. a reduction of </w:t>
      </w:r>
      <w:r w:rsidR="00A04A36">
        <w:t>634</w:t>
      </w:r>
      <w:r w:rsidR="00C1088B">
        <w:t xml:space="preserve"> CO</w:t>
      </w:r>
      <w:r w:rsidR="00C1088B">
        <w:rPr>
          <w:vertAlign w:val="subscript"/>
        </w:rPr>
        <w:t>2</w:t>
      </w:r>
      <w:r w:rsidR="00C1088B">
        <w:t>e tonnes</w:t>
      </w:r>
      <w:r>
        <w:t>.  An interim target has not been set for Scope 3 as the full extent of emission</w:t>
      </w:r>
      <w:r w:rsidR="0077027E">
        <w:t>s</w:t>
      </w:r>
      <w:r>
        <w:t xml:space="preserve"> is not yet known.</w:t>
      </w:r>
    </w:p>
    <w:p w14:paraId="113329F6" w14:textId="3A50352E" w:rsidR="005D2621" w:rsidRDefault="005D2621" w:rsidP="0025357C">
      <w:pPr>
        <w:jc w:val="both"/>
      </w:pPr>
    </w:p>
    <w:p w14:paraId="5FF31B79" w14:textId="64231544" w:rsidR="007F4668" w:rsidRDefault="007F4668" w:rsidP="00186807">
      <w:pPr>
        <w:pStyle w:val="ListParagraph"/>
        <w:numPr>
          <w:ilvl w:val="0"/>
          <w:numId w:val="1"/>
        </w:numPr>
        <w:jc w:val="both"/>
        <w:rPr>
          <w:b/>
        </w:rPr>
      </w:pPr>
      <w:r w:rsidRPr="00186807">
        <w:rPr>
          <w:b/>
        </w:rPr>
        <w:t xml:space="preserve">CARBON </w:t>
      </w:r>
      <w:r w:rsidR="00864839">
        <w:rPr>
          <w:b/>
        </w:rPr>
        <w:t>REDUCTION</w:t>
      </w:r>
      <w:r w:rsidRPr="00186807">
        <w:rPr>
          <w:b/>
        </w:rPr>
        <w:t xml:space="preserve"> </w:t>
      </w:r>
      <w:r w:rsidR="00CA5EA3" w:rsidRPr="00186807">
        <w:rPr>
          <w:b/>
        </w:rPr>
        <w:t>PROJECTS</w:t>
      </w:r>
    </w:p>
    <w:p w14:paraId="7B5BFE8F" w14:textId="41FACD1D" w:rsidR="008D6E48" w:rsidRDefault="008D6E48" w:rsidP="008D6E48">
      <w:pPr>
        <w:jc w:val="both"/>
        <w:rPr>
          <w:b/>
        </w:rPr>
      </w:pPr>
    </w:p>
    <w:p w14:paraId="1376BCB9" w14:textId="13997D32" w:rsidR="00E80C31" w:rsidRPr="00CA287C" w:rsidRDefault="00CA287C" w:rsidP="00B249E7">
      <w:pPr>
        <w:jc w:val="both"/>
      </w:pPr>
      <w:r w:rsidRPr="00CA287C">
        <w:t xml:space="preserve">Despite the </w:t>
      </w:r>
      <w:r>
        <w:t xml:space="preserve">changes and projects that we have implemented in the past (saving both carbon and money) there is still much to do.  </w:t>
      </w:r>
      <w:r w:rsidR="00F2242B">
        <w:rPr>
          <w:rFonts w:cstheme="minorHAnsi"/>
        </w:rPr>
        <w:t xml:space="preserve">The </w:t>
      </w:r>
      <w:r w:rsidR="00E80C31">
        <w:rPr>
          <w:rFonts w:cstheme="minorHAnsi"/>
        </w:rPr>
        <w:t>challenge is to continue to</w:t>
      </w:r>
      <w:r w:rsidR="00B33FA8">
        <w:rPr>
          <w:rFonts w:cstheme="minorHAnsi"/>
        </w:rPr>
        <w:t xml:space="preserve"> identify, quantify and implement carbon reduction projects</w:t>
      </w:r>
      <w:r w:rsidR="00203D04">
        <w:rPr>
          <w:rFonts w:cstheme="minorHAnsi"/>
        </w:rPr>
        <w:t xml:space="preserve"> </w:t>
      </w:r>
      <w:r w:rsidR="00C34B05">
        <w:rPr>
          <w:rFonts w:cstheme="minorHAnsi"/>
        </w:rPr>
        <w:t xml:space="preserve">across all areas of the estates and University community </w:t>
      </w:r>
      <w:r w:rsidR="00B33FA8">
        <w:rPr>
          <w:rFonts w:cstheme="minorHAnsi"/>
        </w:rPr>
        <w:t>to enable the University to reduce its Scope 1 and 2 emissions to net zero by 2040</w:t>
      </w:r>
      <w:r w:rsidR="00215EC3">
        <w:rPr>
          <w:rFonts w:cstheme="minorHAnsi"/>
        </w:rPr>
        <w:t xml:space="preserve"> </w:t>
      </w:r>
      <w:r w:rsidR="00B33FA8">
        <w:rPr>
          <w:rFonts w:cstheme="minorHAnsi"/>
        </w:rPr>
        <w:t xml:space="preserve">and continue its </w:t>
      </w:r>
      <w:r w:rsidR="008672C8">
        <w:rPr>
          <w:rFonts w:cstheme="minorHAnsi"/>
        </w:rPr>
        <w:t xml:space="preserve">Scope 3 reduction </w:t>
      </w:r>
      <w:r w:rsidR="00B33FA8">
        <w:rPr>
          <w:rFonts w:cstheme="minorHAnsi"/>
        </w:rPr>
        <w:t xml:space="preserve">journey </w:t>
      </w:r>
      <w:r w:rsidR="008672C8">
        <w:rPr>
          <w:rFonts w:cstheme="minorHAnsi"/>
        </w:rPr>
        <w:t xml:space="preserve">aiming for net zero by </w:t>
      </w:r>
      <w:r w:rsidR="00B33FA8">
        <w:rPr>
          <w:rFonts w:cstheme="minorHAnsi"/>
        </w:rPr>
        <w:t>2050 at the latest</w:t>
      </w:r>
      <w:r w:rsidR="001C1985">
        <w:rPr>
          <w:rFonts w:cstheme="minorHAnsi"/>
        </w:rPr>
        <w:t xml:space="preserve">.  </w:t>
      </w:r>
      <w:r w:rsidR="007977F3">
        <w:t xml:space="preserve">We need to make major changes to the way we work, and we can reduce our carbon footprint by continuing to embed carbon </w:t>
      </w:r>
      <w:r w:rsidR="00864839">
        <w:t>reduction</w:t>
      </w:r>
      <w:r w:rsidR="007977F3">
        <w:t xml:space="preserve"> and sustainability into all University processes, practices, policies and procedures; investment in carbon reduction projects; </w:t>
      </w:r>
      <w:r w:rsidR="007812DD">
        <w:t xml:space="preserve">allocation of </w:t>
      </w:r>
      <w:r w:rsidR="007977F3">
        <w:t xml:space="preserve">financial and staff resources; and increasing awareness and engagement with the University community, including into all roles and induction programmes.  </w:t>
      </w:r>
      <w:r w:rsidR="00B7384B">
        <w:rPr>
          <w:rFonts w:cstheme="minorHAnsi"/>
        </w:rPr>
        <w:t>However, as always, we need to ensure that our business operations</w:t>
      </w:r>
      <w:r w:rsidR="00C34B05">
        <w:rPr>
          <w:rFonts w:cstheme="minorHAnsi"/>
        </w:rPr>
        <w:t xml:space="preserve">, health and safety, </w:t>
      </w:r>
      <w:r w:rsidR="0069607E">
        <w:rPr>
          <w:rFonts w:cstheme="minorHAnsi"/>
        </w:rPr>
        <w:t xml:space="preserve">user </w:t>
      </w:r>
      <w:r w:rsidR="00F2242B">
        <w:rPr>
          <w:rFonts w:cstheme="minorHAnsi"/>
        </w:rPr>
        <w:t xml:space="preserve">requirements and </w:t>
      </w:r>
      <w:r w:rsidR="0069607E">
        <w:rPr>
          <w:rFonts w:cstheme="minorHAnsi"/>
        </w:rPr>
        <w:t>expectations</w:t>
      </w:r>
      <w:r w:rsidR="005D256D">
        <w:rPr>
          <w:rFonts w:cstheme="minorHAnsi"/>
        </w:rPr>
        <w:t>,</w:t>
      </w:r>
      <w:r w:rsidR="00C34B05">
        <w:rPr>
          <w:rFonts w:cstheme="minorHAnsi"/>
        </w:rPr>
        <w:t xml:space="preserve"> and legislation/regulations</w:t>
      </w:r>
      <w:r w:rsidR="0069607E">
        <w:rPr>
          <w:rFonts w:cstheme="minorHAnsi"/>
        </w:rPr>
        <w:t xml:space="preserve"> </w:t>
      </w:r>
      <w:r w:rsidR="00B7384B">
        <w:rPr>
          <w:rFonts w:cstheme="minorHAnsi"/>
        </w:rPr>
        <w:t>are not compromised</w:t>
      </w:r>
      <w:r w:rsidR="00C34B05">
        <w:rPr>
          <w:rFonts w:cstheme="minorHAnsi"/>
        </w:rPr>
        <w:t xml:space="preserve"> as far as reasonably practicable</w:t>
      </w:r>
      <w:r w:rsidR="0069607E">
        <w:rPr>
          <w:rFonts w:cstheme="minorHAnsi"/>
        </w:rPr>
        <w:t>.</w:t>
      </w:r>
      <w:r w:rsidR="00203D04">
        <w:rPr>
          <w:rFonts w:cstheme="minorHAnsi"/>
        </w:rPr>
        <w:t xml:space="preserve">  </w:t>
      </w:r>
      <w:r w:rsidR="00B33FA8">
        <w:rPr>
          <w:rFonts w:cstheme="minorHAnsi"/>
        </w:rPr>
        <w:t xml:space="preserve">Our journey will fall into four main </w:t>
      </w:r>
      <w:r w:rsidR="00215EC3">
        <w:rPr>
          <w:rFonts w:cstheme="minorHAnsi"/>
        </w:rPr>
        <w:t>paths</w:t>
      </w:r>
      <w:r w:rsidR="00B33FA8">
        <w:rPr>
          <w:rFonts w:cstheme="minorHAnsi"/>
        </w:rPr>
        <w:t>:</w:t>
      </w:r>
    </w:p>
    <w:p w14:paraId="08C32056" w14:textId="78B77200" w:rsidR="00B33FA8" w:rsidRPr="0069607E" w:rsidRDefault="00B33FA8" w:rsidP="0069607E">
      <w:pPr>
        <w:pStyle w:val="ListParagraph"/>
        <w:numPr>
          <w:ilvl w:val="0"/>
          <w:numId w:val="34"/>
        </w:numPr>
        <w:ind w:hanging="436"/>
        <w:jc w:val="both"/>
        <w:rPr>
          <w:rFonts w:cstheme="minorHAnsi"/>
        </w:rPr>
      </w:pPr>
      <w:r>
        <w:rPr>
          <w:rFonts w:cstheme="minorHAnsi"/>
        </w:rPr>
        <w:t>Avoid</w:t>
      </w:r>
      <w:r w:rsidR="00B7384B">
        <w:rPr>
          <w:rFonts w:cstheme="minorHAnsi"/>
        </w:rPr>
        <w:t>ing and eliminating waste</w:t>
      </w:r>
      <w:r w:rsidR="00215EC3">
        <w:rPr>
          <w:rFonts w:cstheme="minorHAnsi"/>
        </w:rPr>
        <w:t xml:space="preserve"> -</w:t>
      </w:r>
      <w:r w:rsidR="00B7384B">
        <w:rPr>
          <w:rFonts w:cstheme="minorHAnsi"/>
        </w:rPr>
        <w:t xml:space="preserve"> </w:t>
      </w:r>
      <w:r w:rsidR="00215EC3">
        <w:rPr>
          <w:rFonts w:cstheme="minorHAnsi"/>
        </w:rPr>
        <w:t xml:space="preserve">through </w:t>
      </w:r>
      <w:r w:rsidR="002A2AC7">
        <w:rPr>
          <w:rFonts w:cstheme="minorHAnsi"/>
        </w:rPr>
        <w:t xml:space="preserve">increased awareness and engagement, such as </w:t>
      </w:r>
      <w:r w:rsidR="00B7384B">
        <w:rPr>
          <w:rFonts w:cstheme="minorHAnsi"/>
        </w:rPr>
        <w:t>switching off</w:t>
      </w:r>
      <w:r w:rsidR="001358F9">
        <w:rPr>
          <w:rFonts w:cstheme="minorHAnsi"/>
        </w:rPr>
        <w:t>;</w:t>
      </w:r>
      <w:r w:rsidR="00B7384B">
        <w:rPr>
          <w:rFonts w:cstheme="minorHAnsi"/>
        </w:rPr>
        <w:t xml:space="preserve"> </w:t>
      </w:r>
      <w:r w:rsidR="00215EC3">
        <w:rPr>
          <w:rFonts w:cstheme="minorHAnsi"/>
        </w:rPr>
        <w:t>estate rationalisation to achieve higher space utilisation rates</w:t>
      </w:r>
      <w:r w:rsidR="001358F9">
        <w:rPr>
          <w:rFonts w:cstheme="minorHAnsi"/>
        </w:rPr>
        <w:t>;</w:t>
      </w:r>
      <w:r w:rsidR="00215EC3">
        <w:rPr>
          <w:rFonts w:cstheme="minorHAnsi"/>
        </w:rPr>
        <w:t xml:space="preserve"> </w:t>
      </w:r>
      <w:r w:rsidR="001358F9">
        <w:rPr>
          <w:rFonts w:cstheme="minorHAnsi"/>
        </w:rPr>
        <w:t xml:space="preserve">passive features such as insulation, </w:t>
      </w:r>
      <w:r w:rsidR="00AD5BD9">
        <w:rPr>
          <w:rFonts w:cstheme="minorHAnsi"/>
        </w:rPr>
        <w:t>solar</w:t>
      </w:r>
      <w:r w:rsidR="001358F9">
        <w:rPr>
          <w:rFonts w:cstheme="minorHAnsi"/>
        </w:rPr>
        <w:t xml:space="preserve"> gain and shading; </w:t>
      </w:r>
      <w:r w:rsidR="00B7384B">
        <w:rPr>
          <w:rFonts w:cstheme="minorHAnsi"/>
        </w:rPr>
        <w:t>reducing the amount purchased and only undertaking essential travel</w:t>
      </w:r>
    </w:p>
    <w:p w14:paraId="71929A6D" w14:textId="0215CF53" w:rsidR="00B7384B" w:rsidRPr="0069607E" w:rsidRDefault="00B7384B" w:rsidP="0069607E">
      <w:pPr>
        <w:pStyle w:val="ListParagraph"/>
        <w:numPr>
          <w:ilvl w:val="0"/>
          <w:numId w:val="34"/>
        </w:numPr>
        <w:ind w:hanging="436"/>
        <w:jc w:val="both"/>
        <w:rPr>
          <w:rFonts w:cstheme="minorHAnsi"/>
        </w:rPr>
      </w:pPr>
      <w:r w:rsidRPr="0069607E">
        <w:rPr>
          <w:rFonts w:cstheme="minorHAnsi"/>
        </w:rPr>
        <w:t>Reducing what can’t be eliminated</w:t>
      </w:r>
      <w:r w:rsidR="00215EC3">
        <w:rPr>
          <w:rFonts w:cstheme="minorHAnsi"/>
        </w:rPr>
        <w:t xml:space="preserve"> – redevelop buildings to the highest environmental standards of environmental performance including as </w:t>
      </w:r>
      <w:r w:rsidRPr="0069607E">
        <w:rPr>
          <w:rFonts w:cstheme="minorHAnsi"/>
        </w:rPr>
        <w:t>installing energy efficient equipment</w:t>
      </w:r>
      <w:r w:rsidR="002A2AC7">
        <w:rPr>
          <w:rFonts w:cstheme="minorHAnsi"/>
        </w:rPr>
        <w:t xml:space="preserve">, </w:t>
      </w:r>
      <w:r w:rsidR="00215EC3">
        <w:rPr>
          <w:rFonts w:cstheme="minorHAnsi"/>
        </w:rPr>
        <w:t>LEDs</w:t>
      </w:r>
      <w:r w:rsidR="002A2AC7">
        <w:rPr>
          <w:rFonts w:cstheme="minorHAnsi"/>
        </w:rPr>
        <w:t>, and low flow showers</w:t>
      </w:r>
    </w:p>
    <w:p w14:paraId="3ED79BE4" w14:textId="5E015BC8" w:rsidR="00B7384B" w:rsidRPr="0069607E" w:rsidRDefault="00B7384B" w:rsidP="0069607E">
      <w:pPr>
        <w:pStyle w:val="ListParagraph"/>
        <w:numPr>
          <w:ilvl w:val="0"/>
          <w:numId w:val="34"/>
        </w:numPr>
        <w:ind w:hanging="436"/>
        <w:jc w:val="both"/>
        <w:rPr>
          <w:rFonts w:cstheme="minorHAnsi"/>
        </w:rPr>
      </w:pPr>
      <w:r w:rsidRPr="0069607E">
        <w:rPr>
          <w:rFonts w:cstheme="minorHAnsi"/>
        </w:rPr>
        <w:t>Self-generat</w:t>
      </w:r>
      <w:r w:rsidR="00BF0CF6">
        <w:rPr>
          <w:rFonts w:cstheme="minorHAnsi"/>
        </w:rPr>
        <w:t>ion</w:t>
      </w:r>
      <w:r w:rsidRPr="0069607E">
        <w:rPr>
          <w:rFonts w:cstheme="minorHAnsi"/>
        </w:rPr>
        <w:t xml:space="preserve"> or the installation of other low carbon assets</w:t>
      </w:r>
      <w:r w:rsidR="002A2AC7">
        <w:rPr>
          <w:rFonts w:cstheme="minorHAnsi"/>
        </w:rPr>
        <w:t>, such as solar PV, solar thermal, battery storage, Air Source Heat Pumps</w:t>
      </w:r>
    </w:p>
    <w:p w14:paraId="076688B5" w14:textId="6BB0FB59" w:rsidR="00B7384B" w:rsidRPr="002A2AC7" w:rsidRDefault="008D06C6" w:rsidP="000D417C">
      <w:pPr>
        <w:pStyle w:val="ListParagraph"/>
        <w:numPr>
          <w:ilvl w:val="0"/>
          <w:numId w:val="34"/>
        </w:numPr>
        <w:ind w:left="709" w:hanging="425"/>
        <w:jc w:val="both"/>
        <w:rPr>
          <w:rFonts w:cstheme="minorHAnsi"/>
        </w:rPr>
      </w:pPr>
      <w:hyperlink r:id="rId18" w:history="1">
        <w:r w:rsidR="00B7384B" w:rsidRPr="002A2AC7">
          <w:rPr>
            <w:rStyle w:val="Hyperlink"/>
            <w:rFonts w:cstheme="minorHAnsi"/>
          </w:rPr>
          <w:t>Offsett</w:t>
        </w:r>
      </w:hyperlink>
      <w:r w:rsidR="00B7384B" w:rsidRPr="002A2AC7">
        <w:rPr>
          <w:rStyle w:val="Hyperlink"/>
          <w:rFonts w:cstheme="minorHAnsi"/>
        </w:rPr>
        <w:t>ing</w:t>
      </w:r>
      <w:r w:rsidR="00B7384B" w:rsidRPr="002A2AC7">
        <w:rPr>
          <w:rFonts w:cstheme="minorHAnsi"/>
        </w:rPr>
        <w:t xml:space="preserve"> – there will always be some emissions that can’t be removed, but offsetting</w:t>
      </w:r>
      <w:r w:rsidR="0069607E" w:rsidRPr="002A2AC7">
        <w:rPr>
          <w:rFonts w:cstheme="minorHAnsi"/>
        </w:rPr>
        <w:t xml:space="preserve"> (such as tree planting, land use and management and carbon capture and storage)</w:t>
      </w:r>
      <w:r w:rsidR="007812DD" w:rsidRPr="002A2AC7">
        <w:rPr>
          <w:rFonts w:cstheme="minorHAnsi"/>
        </w:rPr>
        <w:t xml:space="preserve">, </w:t>
      </w:r>
      <w:r w:rsidR="00B7384B" w:rsidRPr="002A2AC7">
        <w:rPr>
          <w:rFonts w:cstheme="minorHAnsi"/>
        </w:rPr>
        <w:t>will be seen as an absolute last resort</w:t>
      </w:r>
      <w:r w:rsidR="002A2AC7" w:rsidRPr="002A2AC7">
        <w:rPr>
          <w:rFonts w:cstheme="minorHAnsi"/>
        </w:rPr>
        <w:t xml:space="preserve"> and only </w:t>
      </w:r>
      <w:r w:rsidR="002A2AC7" w:rsidRPr="002A2AC7">
        <w:rPr>
          <w:rFonts w:cstheme="minorHAnsi"/>
        </w:rPr>
        <w:lastRenderedPageBreak/>
        <w:t>for those Scope 3 emissions which cannot be eliminated</w:t>
      </w:r>
      <w:r w:rsidR="00CF0EAB">
        <w:rPr>
          <w:rStyle w:val="FootnoteReference"/>
          <w:rFonts w:cstheme="minorHAnsi"/>
        </w:rPr>
        <w:footnoteReference w:id="7"/>
      </w:r>
      <w:r w:rsidR="0069607E" w:rsidRPr="002A2AC7">
        <w:rPr>
          <w:rFonts w:cstheme="minorHAnsi"/>
        </w:rPr>
        <w:t xml:space="preserve">.  </w:t>
      </w:r>
      <w:r w:rsidR="0069607E" w:rsidRPr="002A2AC7">
        <w:rPr>
          <w:rFonts w:cs="Arial"/>
        </w:rPr>
        <w:t>An accepted method of offsetting has not yet been approved</w:t>
      </w:r>
      <w:r w:rsidR="002A2AC7" w:rsidRPr="002A2AC7">
        <w:rPr>
          <w:rFonts w:cs="Arial"/>
        </w:rPr>
        <w:t xml:space="preserve">; the indirect nature of offsetting and reliance on third party investment makes them difficult to verify and this has led to controversy (both financial and ethical).  Any offsets need to be made using robust certification standards.  The EAUC recently launched the Climate Coalition, a sector wide initiative, to facilitate offsetting for FEIs and HEIs using their collective purchasing power and providing robust and credible offset projects, support and driving the demand for permanent carbon capture and storage.  </w:t>
      </w:r>
      <w:r w:rsidR="0069607E" w:rsidRPr="002A2AC7">
        <w:rPr>
          <w:rFonts w:cs="Arial"/>
        </w:rPr>
        <w:t xml:space="preserve">It would </w:t>
      </w:r>
      <w:r w:rsidR="00B7384B" w:rsidRPr="002A2AC7">
        <w:rPr>
          <w:rFonts w:cstheme="minorHAnsi"/>
        </w:rPr>
        <w:t>not be cost effective nor ethical to offset all the emissions and continue to consume as before.</w:t>
      </w:r>
    </w:p>
    <w:p w14:paraId="1E0C5ABC" w14:textId="24CA8FA2" w:rsidR="00B249E7" w:rsidRDefault="00B249E7" w:rsidP="00430C0D">
      <w:pPr>
        <w:jc w:val="both"/>
        <w:rPr>
          <w:rFonts w:cstheme="minorHAnsi"/>
        </w:rPr>
      </w:pPr>
    </w:p>
    <w:p w14:paraId="1CC592C8" w14:textId="5D502E4A" w:rsidR="005F04EA" w:rsidRDefault="005F04EA" w:rsidP="00CF0EAB">
      <w:pPr>
        <w:jc w:val="both"/>
      </w:pPr>
      <w:r>
        <w:t xml:space="preserve">The </w:t>
      </w:r>
      <w:r w:rsidR="00CA287C">
        <w:t>high</w:t>
      </w:r>
      <w:r w:rsidR="00CF0EAB">
        <w:t>-</w:t>
      </w:r>
      <w:r w:rsidR="00CA287C">
        <w:t xml:space="preserve">level </w:t>
      </w:r>
      <w:r>
        <w:t xml:space="preserve">projects </w:t>
      </w:r>
      <w:r w:rsidR="002106A1">
        <w:t>identified</w:t>
      </w:r>
      <w:r>
        <w:t xml:space="preserve"> within this plan </w:t>
      </w:r>
      <w:r w:rsidR="000D6F51">
        <w:t xml:space="preserve">(Table </w:t>
      </w:r>
      <w:r w:rsidR="00F2242B">
        <w:t>3</w:t>
      </w:r>
      <w:r w:rsidR="000D6F51">
        <w:t xml:space="preserve">) </w:t>
      </w:r>
      <w:r w:rsidR="002C1687">
        <w:t>will reduce consumption and therefore emissions, costs, improve efficiency and performance and embed positive behaviours</w:t>
      </w:r>
      <w:r w:rsidR="00CA4416">
        <w:t xml:space="preserve">; however, this </w:t>
      </w:r>
      <w:r w:rsidR="002C1687">
        <w:t xml:space="preserve">list is </w:t>
      </w:r>
      <w:r>
        <w:t>by no means exhaustive</w:t>
      </w:r>
      <w:r w:rsidR="007F3AAF">
        <w:t xml:space="preserve"> and </w:t>
      </w:r>
      <w:r w:rsidR="00C97125">
        <w:t>will be updated as further projects are identified</w:t>
      </w:r>
      <w:r w:rsidR="00CF0EAB">
        <w:t>.  A</w:t>
      </w:r>
      <w:r w:rsidR="007F3AAF">
        <w:t xml:space="preserve">ll projects will be </w:t>
      </w:r>
      <w:r w:rsidR="00C97125">
        <w:t>subject to ongoing refinement and assessment to ensure that they are financially, operationally and sustainably feasibly</w:t>
      </w:r>
      <w:r w:rsidR="00CF0EAB">
        <w:t>; some may not be feasible and alternatives developed</w:t>
      </w:r>
      <w:r w:rsidR="00F2242B">
        <w:t>.</w:t>
      </w:r>
      <w:r w:rsidR="004C70E2">
        <w:t xml:space="preserve">  </w:t>
      </w:r>
      <w:r w:rsidR="002106A1">
        <w:t>T</w:t>
      </w:r>
      <w:r w:rsidR="007F3AAF">
        <w:t>he cost and carbon savings can be immediately identified</w:t>
      </w:r>
      <w:r w:rsidR="002106A1">
        <w:t xml:space="preserve"> for some projects</w:t>
      </w:r>
      <w:r w:rsidR="007F3AAF">
        <w:t xml:space="preserve">, but for others a full scoping exercise is required.  </w:t>
      </w:r>
      <w:r w:rsidR="00CF0EAB">
        <w:t xml:space="preserve">A full </w:t>
      </w:r>
      <w:r w:rsidR="001C1985">
        <w:t xml:space="preserve">breakdown of the projects </w:t>
      </w:r>
      <w:r w:rsidR="00CF0EAB">
        <w:t xml:space="preserve">on a building-by-building, technology-by-technology basis can be found in the </w:t>
      </w:r>
      <w:r w:rsidR="00CA287C">
        <w:t xml:space="preserve">Carbon Reduction </w:t>
      </w:r>
      <w:r w:rsidR="00117B94">
        <w:t>project</w:t>
      </w:r>
      <w:r w:rsidR="00A04A36">
        <w:t xml:space="preserve"> plan</w:t>
      </w:r>
      <w:r w:rsidR="00CA287C">
        <w:t xml:space="preserve">.  </w:t>
      </w:r>
      <w:r w:rsidR="00C34B05">
        <w:t xml:space="preserve">It is recognised that both short- and long-term projects </w:t>
      </w:r>
      <w:r w:rsidR="005E03A9">
        <w:t xml:space="preserve">and significant investment will be required to ensure that we meet out net zero targets.  </w:t>
      </w:r>
    </w:p>
    <w:p w14:paraId="60D79C74" w14:textId="4A9A0953" w:rsidR="00BF0CF6" w:rsidRDefault="00BF0CF6" w:rsidP="002C1687">
      <w:pPr>
        <w:jc w:val="both"/>
      </w:pPr>
    </w:p>
    <w:p w14:paraId="45E197C6" w14:textId="71DAA859" w:rsidR="008A48D9" w:rsidRDefault="008A48D9" w:rsidP="00CB6346">
      <w:pPr>
        <w:jc w:val="both"/>
        <w:rPr>
          <w:b/>
          <w:sz w:val="20"/>
          <w:szCs w:val="20"/>
        </w:rPr>
      </w:pPr>
      <w:r w:rsidRPr="008C7AB4">
        <w:rPr>
          <w:b/>
          <w:sz w:val="20"/>
          <w:szCs w:val="20"/>
        </w:rPr>
        <w:t xml:space="preserve">Table </w:t>
      </w:r>
      <w:r w:rsidR="008C7AB4" w:rsidRPr="008C7AB4">
        <w:rPr>
          <w:b/>
          <w:sz w:val="20"/>
          <w:szCs w:val="20"/>
        </w:rPr>
        <w:t>3</w:t>
      </w:r>
      <w:r w:rsidRPr="008C7AB4">
        <w:rPr>
          <w:b/>
          <w:sz w:val="20"/>
          <w:szCs w:val="20"/>
        </w:rPr>
        <w:t xml:space="preserve">.  </w:t>
      </w:r>
      <w:r w:rsidR="00CF0EAB">
        <w:rPr>
          <w:b/>
          <w:sz w:val="20"/>
          <w:szCs w:val="20"/>
        </w:rPr>
        <w:t>Summary of carbon reduction projects</w:t>
      </w:r>
    </w:p>
    <w:tbl>
      <w:tblPr>
        <w:tblStyle w:val="TableGrid"/>
        <w:tblW w:w="0" w:type="auto"/>
        <w:tblLook w:val="04A0" w:firstRow="1" w:lastRow="0" w:firstColumn="1" w:lastColumn="0" w:noHBand="0" w:noVBand="1"/>
      </w:tblPr>
      <w:tblGrid>
        <w:gridCol w:w="710"/>
        <w:gridCol w:w="3113"/>
        <w:gridCol w:w="6633"/>
      </w:tblGrid>
      <w:tr w:rsidR="00CF0EAB" w14:paraId="0970BA61" w14:textId="77777777" w:rsidTr="001312D6">
        <w:tc>
          <w:tcPr>
            <w:tcW w:w="710" w:type="dxa"/>
          </w:tcPr>
          <w:p w14:paraId="53A1E4BF" w14:textId="142F1674" w:rsidR="00CF0EAB" w:rsidRDefault="00CF0EAB" w:rsidP="00CB6346">
            <w:pPr>
              <w:jc w:val="both"/>
              <w:rPr>
                <w:b/>
                <w:sz w:val="20"/>
                <w:szCs w:val="20"/>
              </w:rPr>
            </w:pPr>
            <w:r>
              <w:rPr>
                <w:b/>
                <w:sz w:val="20"/>
                <w:szCs w:val="20"/>
              </w:rPr>
              <w:t>Scope</w:t>
            </w:r>
          </w:p>
        </w:tc>
        <w:tc>
          <w:tcPr>
            <w:tcW w:w="3113" w:type="dxa"/>
          </w:tcPr>
          <w:p w14:paraId="04D15E63" w14:textId="39A4D79A" w:rsidR="00CF0EAB" w:rsidRDefault="00CF0EAB" w:rsidP="00CB6346">
            <w:pPr>
              <w:jc w:val="both"/>
              <w:rPr>
                <w:b/>
                <w:sz w:val="20"/>
                <w:szCs w:val="20"/>
              </w:rPr>
            </w:pPr>
            <w:r>
              <w:rPr>
                <w:b/>
                <w:sz w:val="20"/>
                <w:szCs w:val="20"/>
              </w:rPr>
              <w:t>Emission Source</w:t>
            </w:r>
          </w:p>
        </w:tc>
        <w:tc>
          <w:tcPr>
            <w:tcW w:w="6633" w:type="dxa"/>
          </w:tcPr>
          <w:p w14:paraId="6F1EBE20" w14:textId="2C8CA8EF" w:rsidR="00CF0EAB" w:rsidRDefault="00CF0EAB" w:rsidP="00CB6346">
            <w:pPr>
              <w:jc w:val="both"/>
              <w:rPr>
                <w:b/>
                <w:sz w:val="20"/>
                <w:szCs w:val="20"/>
              </w:rPr>
            </w:pPr>
            <w:r>
              <w:rPr>
                <w:b/>
                <w:sz w:val="20"/>
                <w:szCs w:val="20"/>
              </w:rPr>
              <w:t>Project</w:t>
            </w:r>
          </w:p>
        </w:tc>
      </w:tr>
      <w:tr w:rsidR="00CF0EAB" w14:paraId="2A4D36B0" w14:textId="77777777" w:rsidTr="001312D6">
        <w:tc>
          <w:tcPr>
            <w:tcW w:w="710" w:type="dxa"/>
          </w:tcPr>
          <w:p w14:paraId="44AACC51" w14:textId="3B028170" w:rsidR="00CF0EAB" w:rsidRPr="00CF0EAB" w:rsidRDefault="00CF0EAB" w:rsidP="00CF0EAB">
            <w:pPr>
              <w:jc w:val="center"/>
              <w:rPr>
                <w:sz w:val="20"/>
                <w:szCs w:val="20"/>
              </w:rPr>
            </w:pPr>
            <w:r w:rsidRPr="00CF0EAB">
              <w:rPr>
                <w:sz w:val="20"/>
                <w:szCs w:val="20"/>
              </w:rPr>
              <w:t>1</w:t>
            </w:r>
            <w:r>
              <w:rPr>
                <w:sz w:val="20"/>
                <w:szCs w:val="20"/>
              </w:rPr>
              <w:t>,3</w:t>
            </w:r>
          </w:p>
        </w:tc>
        <w:tc>
          <w:tcPr>
            <w:tcW w:w="3113" w:type="dxa"/>
          </w:tcPr>
          <w:p w14:paraId="676D184A" w14:textId="4DBE84D2" w:rsidR="00CF0EAB" w:rsidRPr="00CF0EAB" w:rsidRDefault="00CF0EAB" w:rsidP="00CB6346">
            <w:pPr>
              <w:jc w:val="both"/>
              <w:rPr>
                <w:sz w:val="20"/>
                <w:szCs w:val="20"/>
              </w:rPr>
            </w:pPr>
            <w:r w:rsidRPr="00CF0EAB">
              <w:rPr>
                <w:sz w:val="20"/>
                <w:szCs w:val="20"/>
              </w:rPr>
              <w:t>Gas</w:t>
            </w:r>
          </w:p>
        </w:tc>
        <w:tc>
          <w:tcPr>
            <w:tcW w:w="6633" w:type="dxa"/>
          </w:tcPr>
          <w:p w14:paraId="5F3476AD" w14:textId="7CB010CE" w:rsidR="00CF0EAB" w:rsidRDefault="001358F9" w:rsidP="00630057">
            <w:pPr>
              <w:pStyle w:val="ListParagraph"/>
              <w:numPr>
                <w:ilvl w:val="0"/>
                <w:numId w:val="24"/>
              </w:numPr>
              <w:ind w:left="320" w:hanging="283"/>
              <w:jc w:val="both"/>
              <w:rPr>
                <w:sz w:val="20"/>
                <w:szCs w:val="20"/>
              </w:rPr>
            </w:pPr>
            <w:r>
              <w:rPr>
                <w:sz w:val="20"/>
                <w:szCs w:val="20"/>
              </w:rPr>
              <w:t xml:space="preserve">Low carbon </w:t>
            </w:r>
            <w:r w:rsidR="00630057">
              <w:rPr>
                <w:sz w:val="20"/>
                <w:szCs w:val="20"/>
              </w:rPr>
              <w:t>heating and hot water sources – ASHP, Electric panel heaters</w:t>
            </w:r>
            <w:r w:rsidR="008F6836">
              <w:rPr>
                <w:sz w:val="20"/>
                <w:szCs w:val="20"/>
              </w:rPr>
              <w:t>, hybrid systems, hydrogen</w:t>
            </w:r>
          </w:p>
          <w:p w14:paraId="5EC725D6" w14:textId="3B430D4C" w:rsidR="008F6836" w:rsidRDefault="008F6836" w:rsidP="00630057">
            <w:pPr>
              <w:pStyle w:val="ListParagraph"/>
              <w:numPr>
                <w:ilvl w:val="0"/>
                <w:numId w:val="24"/>
              </w:numPr>
              <w:ind w:left="320" w:hanging="283"/>
              <w:jc w:val="both"/>
              <w:rPr>
                <w:sz w:val="20"/>
                <w:szCs w:val="20"/>
              </w:rPr>
            </w:pPr>
            <w:r>
              <w:rPr>
                <w:sz w:val="20"/>
                <w:szCs w:val="20"/>
              </w:rPr>
              <w:t xml:space="preserve">Boiler plant appraisal – age, efficiency to determine feasibility of transfer to low carbon heating/hot water </w:t>
            </w:r>
          </w:p>
          <w:p w14:paraId="1661E225" w14:textId="6115E65F" w:rsidR="008F6836" w:rsidRDefault="001358F9" w:rsidP="00630057">
            <w:pPr>
              <w:pStyle w:val="ListParagraph"/>
              <w:numPr>
                <w:ilvl w:val="0"/>
                <w:numId w:val="24"/>
              </w:numPr>
              <w:ind w:left="320" w:hanging="283"/>
              <w:jc w:val="both"/>
              <w:rPr>
                <w:sz w:val="20"/>
                <w:szCs w:val="20"/>
              </w:rPr>
            </w:pPr>
            <w:r>
              <w:rPr>
                <w:sz w:val="20"/>
                <w:szCs w:val="20"/>
              </w:rPr>
              <w:t>Heating/Boiler c</w:t>
            </w:r>
            <w:r w:rsidR="008F6836">
              <w:rPr>
                <w:sz w:val="20"/>
                <w:szCs w:val="20"/>
              </w:rPr>
              <w:t>ontrols including VSD and TRVs</w:t>
            </w:r>
          </w:p>
          <w:p w14:paraId="090AEDB7" w14:textId="20C1F097" w:rsidR="008F6836" w:rsidRDefault="008F6836" w:rsidP="00630057">
            <w:pPr>
              <w:pStyle w:val="ListParagraph"/>
              <w:numPr>
                <w:ilvl w:val="0"/>
                <w:numId w:val="24"/>
              </w:numPr>
              <w:ind w:left="320" w:hanging="283"/>
              <w:jc w:val="both"/>
              <w:rPr>
                <w:sz w:val="20"/>
                <w:szCs w:val="20"/>
              </w:rPr>
            </w:pPr>
            <w:r>
              <w:rPr>
                <w:sz w:val="20"/>
                <w:szCs w:val="20"/>
              </w:rPr>
              <w:t>Building Management System – extend to cover the outstanding boilers and continue to fine-tune</w:t>
            </w:r>
          </w:p>
          <w:p w14:paraId="36EFFE96" w14:textId="0184FE24" w:rsidR="008F6836" w:rsidRDefault="00630057" w:rsidP="00630057">
            <w:pPr>
              <w:pStyle w:val="ListParagraph"/>
              <w:numPr>
                <w:ilvl w:val="0"/>
                <w:numId w:val="24"/>
              </w:numPr>
              <w:ind w:left="320" w:hanging="283"/>
              <w:jc w:val="both"/>
              <w:rPr>
                <w:sz w:val="20"/>
                <w:szCs w:val="20"/>
              </w:rPr>
            </w:pPr>
            <w:r>
              <w:rPr>
                <w:sz w:val="20"/>
                <w:szCs w:val="20"/>
              </w:rPr>
              <w:t>Fabric first approach</w:t>
            </w:r>
            <w:r w:rsidR="008F6836">
              <w:rPr>
                <w:sz w:val="20"/>
                <w:szCs w:val="20"/>
              </w:rPr>
              <w:t>, including</w:t>
            </w:r>
          </w:p>
          <w:p w14:paraId="10448389" w14:textId="6E29EC1A" w:rsidR="00630057" w:rsidRDefault="008F6836" w:rsidP="008F6836">
            <w:pPr>
              <w:pStyle w:val="ListParagraph"/>
              <w:numPr>
                <w:ilvl w:val="1"/>
                <w:numId w:val="24"/>
              </w:numPr>
              <w:ind w:left="604" w:hanging="284"/>
              <w:jc w:val="both"/>
              <w:rPr>
                <w:sz w:val="20"/>
                <w:szCs w:val="20"/>
              </w:rPr>
            </w:pPr>
            <w:r>
              <w:rPr>
                <w:sz w:val="20"/>
                <w:szCs w:val="20"/>
              </w:rPr>
              <w:t>Insulation</w:t>
            </w:r>
            <w:r w:rsidR="00630057">
              <w:rPr>
                <w:sz w:val="20"/>
                <w:szCs w:val="20"/>
              </w:rPr>
              <w:t xml:space="preserve"> (boiler plant, </w:t>
            </w:r>
            <w:r>
              <w:rPr>
                <w:sz w:val="20"/>
                <w:szCs w:val="20"/>
              </w:rPr>
              <w:t>loft void</w:t>
            </w:r>
            <w:r w:rsidR="001358F9">
              <w:rPr>
                <w:sz w:val="20"/>
                <w:szCs w:val="20"/>
              </w:rPr>
              <w:t>, walls</w:t>
            </w:r>
            <w:r w:rsidR="00630057">
              <w:rPr>
                <w:sz w:val="20"/>
                <w:szCs w:val="20"/>
              </w:rPr>
              <w:t>)</w:t>
            </w:r>
          </w:p>
          <w:p w14:paraId="58CB7DFE" w14:textId="327AACF6" w:rsidR="008F6836" w:rsidRDefault="008F6836" w:rsidP="008F6836">
            <w:pPr>
              <w:pStyle w:val="ListParagraph"/>
              <w:numPr>
                <w:ilvl w:val="1"/>
                <w:numId w:val="24"/>
              </w:numPr>
              <w:ind w:left="604" w:hanging="284"/>
              <w:jc w:val="both"/>
              <w:rPr>
                <w:sz w:val="20"/>
                <w:szCs w:val="20"/>
              </w:rPr>
            </w:pPr>
            <w:r>
              <w:rPr>
                <w:sz w:val="20"/>
                <w:szCs w:val="20"/>
              </w:rPr>
              <w:t>Replacement roof with increased insulation</w:t>
            </w:r>
          </w:p>
          <w:p w14:paraId="1C2E01D4" w14:textId="7C05DCA7" w:rsidR="008F6836" w:rsidRDefault="008F6836" w:rsidP="008F6836">
            <w:pPr>
              <w:pStyle w:val="ListParagraph"/>
              <w:numPr>
                <w:ilvl w:val="1"/>
                <w:numId w:val="24"/>
              </w:numPr>
              <w:ind w:left="604" w:hanging="284"/>
              <w:jc w:val="both"/>
              <w:rPr>
                <w:sz w:val="20"/>
                <w:szCs w:val="20"/>
              </w:rPr>
            </w:pPr>
            <w:r>
              <w:rPr>
                <w:sz w:val="20"/>
                <w:szCs w:val="20"/>
              </w:rPr>
              <w:t>Double glazing</w:t>
            </w:r>
          </w:p>
          <w:p w14:paraId="07EEECCE" w14:textId="0695C8BF" w:rsidR="008F6836" w:rsidRDefault="008F6836" w:rsidP="008F6836">
            <w:pPr>
              <w:pStyle w:val="ListParagraph"/>
              <w:numPr>
                <w:ilvl w:val="1"/>
                <w:numId w:val="24"/>
              </w:numPr>
              <w:ind w:left="604" w:hanging="284"/>
              <w:jc w:val="both"/>
              <w:rPr>
                <w:sz w:val="20"/>
                <w:szCs w:val="20"/>
              </w:rPr>
            </w:pPr>
            <w:r>
              <w:rPr>
                <w:sz w:val="20"/>
                <w:szCs w:val="20"/>
              </w:rPr>
              <w:t>Secondary glazing</w:t>
            </w:r>
          </w:p>
          <w:p w14:paraId="068A9796" w14:textId="1143CD61" w:rsidR="008F6836" w:rsidRDefault="008F6836" w:rsidP="00630057">
            <w:pPr>
              <w:pStyle w:val="ListParagraph"/>
              <w:numPr>
                <w:ilvl w:val="0"/>
                <w:numId w:val="24"/>
              </w:numPr>
              <w:ind w:left="320" w:hanging="283"/>
              <w:jc w:val="both"/>
              <w:rPr>
                <w:sz w:val="20"/>
                <w:szCs w:val="20"/>
              </w:rPr>
            </w:pPr>
            <w:r>
              <w:rPr>
                <w:sz w:val="20"/>
                <w:szCs w:val="20"/>
              </w:rPr>
              <w:t>Electrification of catering appliances</w:t>
            </w:r>
          </w:p>
          <w:p w14:paraId="05C5C684" w14:textId="702E75AA" w:rsidR="00630057" w:rsidRDefault="008F6836" w:rsidP="00630057">
            <w:pPr>
              <w:pStyle w:val="ListParagraph"/>
              <w:numPr>
                <w:ilvl w:val="0"/>
                <w:numId w:val="24"/>
              </w:numPr>
              <w:ind w:left="320" w:hanging="283"/>
              <w:jc w:val="both"/>
              <w:rPr>
                <w:sz w:val="20"/>
                <w:szCs w:val="20"/>
              </w:rPr>
            </w:pPr>
            <w:r>
              <w:rPr>
                <w:sz w:val="20"/>
                <w:szCs w:val="20"/>
              </w:rPr>
              <w:t>AMR/heat meters in outstanding buildings</w:t>
            </w:r>
          </w:p>
          <w:p w14:paraId="5F49B90E" w14:textId="00361E25" w:rsidR="008F6836" w:rsidRPr="002106A1" w:rsidRDefault="006F0510" w:rsidP="002106A1">
            <w:pPr>
              <w:pStyle w:val="ListParagraph"/>
              <w:numPr>
                <w:ilvl w:val="0"/>
                <w:numId w:val="24"/>
              </w:numPr>
              <w:ind w:left="320" w:hanging="283"/>
              <w:jc w:val="both"/>
              <w:rPr>
                <w:sz w:val="20"/>
                <w:szCs w:val="20"/>
              </w:rPr>
            </w:pPr>
            <w:r>
              <w:rPr>
                <w:sz w:val="20"/>
                <w:szCs w:val="20"/>
              </w:rPr>
              <w:t>Space Management</w:t>
            </w:r>
          </w:p>
        </w:tc>
      </w:tr>
      <w:tr w:rsidR="00CF0EAB" w14:paraId="7A4DBD9E" w14:textId="77777777" w:rsidTr="001312D6">
        <w:tc>
          <w:tcPr>
            <w:tcW w:w="710" w:type="dxa"/>
          </w:tcPr>
          <w:p w14:paraId="6F37C74A" w14:textId="48AF2982" w:rsidR="00CF0EAB" w:rsidRPr="00CF0EAB" w:rsidRDefault="00CF0EAB" w:rsidP="00CF0EAB">
            <w:pPr>
              <w:jc w:val="center"/>
              <w:rPr>
                <w:sz w:val="20"/>
                <w:szCs w:val="20"/>
              </w:rPr>
            </w:pPr>
            <w:r w:rsidRPr="00CF0EAB">
              <w:rPr>
                <w:sz w:val="20"/>
                <w:szCs w:val="20"/>
              </w:rPr>
              <w:t>1</w:t>
            </w:r>
            <w:r>
              <w:rPr>
                <w:sz w:val="20"/>
                <w:szCs w:val="20"/>
              </w:rPr>
              <w:t>,3</w:t>
            </w:r>
          </w:p>
        </w:tc>
        <w:tc>
          <w:tcPr>
            <w:tcW w:w="3113" w:type="dxa"/>
          </w:tcPr>
          <w:p w14:paraId="49E55B6B" w14:textId="53AA7362" w:rsidR="00CF0EAB" w:rsidRPr="00CF0EAB" w:rsidRDefault="00CF0EAB" w:rsidP="00CB6346">
            <w:pPr>
              <w:jc w:val="both"/>
              <w:rPr>
                <w:sz w:val="20"/>
                <w:szCs w:val="20"/>
              </w:rPr>
            </w:pPr>
            <w:r>
              <w:rPr>
                <w:sz w:val="20"/>
                <w:szCs w:val="20"/>
              </w:rPr>
              <w:t>Fuel – vehicles</w:t>
            </w:r>
          </w:p>
        </w:tc>
        <w:tc>
          <w:tcPr>
            <w:tcW w:w="6633" w:type="dxa"/>
          </w:tcPr>
          <w:p w14:paraId="7DEEA932" w14:textId="77777777" w:rsidR="00CF0EAB" w:rsidRDefault="00630057" w:rsidP="00630057">
            <w:pPr>
              <w:pStyle w:val="ListParagraph"/>
              <w:numPr>
                <w:ilvl w:val="0"/>
                <w:numId w:val="24"/>
              </w:numPr>
              <w:ind w:left="320" w:hanging="283"/>
              <w:jc w:val="both"/>
              <w:rPr>
                <w:sz w:val="20"/>
                <w:szCs w:val="20"/>
              </w:rPr>
            </w:pPr>
            <w:r>
              <w:rPr>
                <w:sz w:val="20"/>
                <w:szCs w:val="20"/>
              </w:rPr>
              <w:t>Electric vehicles</w:t>
            </w:r>
          </w:p>
          <w:p w14:paraId="3E97639E" w14:textId="77777777" w:rsidR="00630057" w:rsidRDefault="00630057" w:rsidP="00630057">
            <w:pPr>
              <w:pStyle w:val="ListParagraph"/>
              <w:numPr>
                <w:ilvl w:val="0"/>
                <w:numId w:val="24"/>
              </w:numPr>
              <w:ind w:left="320" w:hanging="283"/>
              <w:jc w:val="both"/>
              <w:rPr>
                <w:sz w:val="20"/>
                <w:szCs w:val="20"/>
              </w:rPr>
            </w:pPr>
            <w:r>
              <w:rPr>
                <w:sz w:val="20"/>
                <w:szCs w:val="20"/>
              </w:rPr>
              <w:t>Electric gardening equipment</w:t>
            </w:r>
          </w:p>
          <w:p w14:paraId="7EF0E352" w14:textId="1B2099B4" w:rsidR="00630057" w:rsidRPr="00630057" w:rsidRDefault="00630057" w:rsidP="00630057">
            <w:pPr>
              <w:pStyle w:val="ListParagraph"/>
              <w:numPr>
                <w:ilvl w:val="0"/>
                <w:numId w:val="24"/>
              </w:numPr>
              <w:ind w:left="320" w:hanging="283"/>
              <w:jc w:val="both"/>
              <w:rPr>
                <w:sz w:val="20"/>
                <w:szCs w:val="20"/>
              </w:rPr>
            </w:pPr>
            <w:r>
              <w:rPr>
                <w:sz w:val="20"/>
                <w:szCs w:val="20"/>
              </w:rPr>
              <w:t>Essential travel only</w:t>
            </w:r>
          </w:p>
        </w:tc>
      </w:tr>
      <w:tr w:rsidR="00CF0EAB" w14:paraId="7BCE3EC1" w14:textId="77777777" w:rsidTr="001312D6">
        <w:tc>
          <w:tcPr>
            <w:tcW w:w="710" w:type="dxa"/>
          </w:tcPr>
          <w:p w14:paraId="137047EB" w14:textId="02D833A0" w:rsidR="00CF0EAB" w:rsidRPr="00CF0EAB" w:rsidRDefault="00CF0EAB" w:rsidP="00CF0EAB">
            <w:pPr>
              <w:jc w:val="center"/>
              <w:rPr>
                <w:sz w:val="20"/>
                <w:szCs w:val="20"/>
              </w:rPr>
            </w:pPr>
            <w:r w:rsidRPr="00CF0EAB">
              <w:rPr>
                <w:sz w:val="20"/>
                <w:szCs w:val="20"/>
              </w:rPr>
              <w:t>1</w:t>
            </w:r>
            <w:r>
              <w:rPr>
                <w:sz w:val="20"/>
                <w:szCs w:val="20"/>
              </w:rPr>
              <w:t>,3</w:t>
            </w:r>
          </w:p>
        </w:tc>
        <w:tc>
          <w:tcPr>
            <w:tcW w:w="3113" w:type="dxa"/>
          </w:tcPr>
          <w:p w14:paraId="5583BD0A" w14:textId="211AA3B2" w:rsidR="00CF0EAB" w:rsidRPr="00CF0EAB" w:rsidRDefault="00A04A36" w:rsidP="00CB6346">
            <w:pPr>
              <w:jc w:val="both"/>
              <w:rPr>
                <w:sz w:val="20"/>
                <w:szCs w:val="20"/>
              </w:rPr>
            </w:pPr>
            <w:r>
              <w:rPr>
                <w:sz w:val="20"/>
                <w:szCs w:val="20"/>
              </w:rPr>
              <w:t>Refrigerants/</w:t>
            </w:r>
            <w:r w:rsidR="00CF0EAB">
              <w:rPr>
                <w:sz w:val="20"/>
                <w:szCs w:val="20"/>
              </w:rPr>
              <w:t>Fugitive</w:t>
            </w:r>
          </w:p>
        </w:tc>
        <w:tc>
          <w:tcPr>
            <w:tcW w:w="6633" w:type="dxa"/>
          </w:tcPr>
          <w:p w14:paraId="26A1129D" w14:textId="77777777" w:rsidR="00CF0EAB" w:rsidRDefault="00630057" w:rsidP="00630057">
            <w:pPr>
              <w:pStyle w:val="ListParagraph"/>
              <w:numPr>
                <w:ilvl w:val="0"/>
                <w:numId w:val="24"/>
              </w:numPr>
              <w:ind w:left="320" w:hanging="283"/>
              <w:jc w:val="both"/>
              <w:rPr>
                <w:sz w:val="20"/>
                <w:szCs w:val="20"/>
              </w:rPr>
            </w:pPr>
            <w:r>
              <w:rPr>
                <w:sz w:val="20"/>
                <w:szCs w:val="20"/>
              </w:rPr>
              <w:t>Low GWP HVAC systems</w:t>
            </w:r>
          </w:p>
          <w:p w14:paraId="79CFA128" w14:textId="48AF8073" w:rsidR="008F6836" w:rsidRDefault="008F6836" w:rsidP="00630057">
            <w:pPr>
              <w:pStyle w:val="ListParagraph"/>
              <w:numPr>
                <w:ilvl w:val="0"/>
                <w:numId w:val="24"/>
              </w:numPr>
              <w:ind w:left="320" w:hanging="283"/>
              <w:jc w:val="both"/>
              <w:rPr>
                <w:sz w:val="20"/>
                <w:szCs w:val="20"/>
              </w:rPr>
            </w:pPr>
            <w:r>
              <w:rPr>
                <w:sz w:val="20"/>
                <w:szCs w:val="20"/>
              </w:rPr>
              <w:t>Replacement with heating system and openable windows</w:t>
            </w:r>
          </w:p>
          <w:p w14:paraId="79BC18D4" w14:textId="40117C05" w:rsidR="00630057" w:rsidRDefault="00630057" w:rsidP="00630057">
            <w:pPr>
              <w:pStyle w:val="ListParagraph"/>
              <w:numPr>
                <w:ilvl w:val="0"/>
                <w:numId w:val="24"/>
              </w:numPr>
              <w:ind w:left="320" w:hanging="283"/>
              <w:jc w:val="both"/>
              <w:rPr>
                <w:sz w:val="20"/>
                <w:szCs w:val="20"/>
              </w:rPr>
            </w:pPr>
            <w:r>
              <w:rPr>
                <w:sz w:val="20"/>
                <w:szCs w:val="20"/>
              </w:rPr>
              <w:t>Increase passive cooling</w:t>
            </w:r>
          </w:p>
          <w:p w14:paraId="4B3FAAAC" w14:textId="77777777" w:rsidR="008F6836" w:rsidRDefault="008F6836" w:rsidP="00630057">
            <w:pPr>
              <w:pStyle w:val="ListParagraph"/>
              <w:numPr>
                <w:ilvl w:val="0"/>
                <w:numId w:val="24"/>
              </w:numPr>
              <w:ind w:left="320" w:hanging="283"/>
              <w:jc w:val="both"/>
              <w:rPr>
                <w:sz w:val="20"/>
                <w:szCs w:val="20"/>
              </w:rPr>
            </w:pPr>
            <w:r>
              <w:rPr>
                <w:sz w:val="20"/>
                <w:szCs w:val="20"/>
              </w:rPr>
              <w:t>VSD</w:t>
            </w:r>
          </w:p>
          <w:p w14:paraId="39F80B17" w14:textId="72E9C39B" w:rsidR="008F6836" w:rsidRPr="00630057" w:rsidRDefault="008F6836" w:rsidP="00630057">
            <w:pPr>
              <w:pStyle w:val="ListParagraph"/>
              <w:numPr>
                <w:ilvl w:val="0"/>
                <w:numId w:val="24"/>
              </w:numPr>
              <w:ind w:left="320" w:hanging="283"/>
              <w:jc w:val="both"/>
              <w:rPr>
                <w:sz w:val="20"/>
                <w:szCs w:val="20"/>
              </w:rPr>
            </w:pPr>
            <w:r>
              <w:rPr>
                <w:sz w:val="20"/>
                <w:szCs w:val="20"/>
              </w:rPr>
              <w:t>Controls – PIRs, sensors, over-run controls</w:t>
            </w:r>
          </w:p>
        </w:tc>
      </w:tr>
      <w:tr w:rsidR="00CF0EAB" w14:paraId="16F5296B" w14:textId="77777777" w:rsidTr="001312D6">
        <w:tc>
          <w:tcPr>
            <w:tcW w:w="710" w:type="dxa"/>
          </w:tcPr>
          <w:p w14:paraId="324A644E" w14:textId="1E42AC24" w:rsidR="00CF0EAB" w:rsidRPr="00CF0EAB" w:rsidRDefault="00CF0EAB" w:rsidP="00CF0EAB">
            <w:pPr>
              <w:jc w:val="center"/>
              <w:rPr>
                <w:sz w:val="20"/>
                <w:szCs w:val="20"/>
              </w:rPr>
            </w:pPr>
            <w:r>
              <w:rPr>
                <w:sz w:val="20"/>
                <w:szCs w:val="20"/>
              </w:rPr>
              <w:t>2, 3</w:t>
            </w:r>
          </w:p>
        </w:tc>
        <w:tc>
          <w:tcPr>
            <w:tcW w:w="3113" w:type="dxa"/>
          </w:tcPr>
          <w:p w14:paraId="6AF6D747" w14:textId="6E544B79" w:rsidR="00CF0EAB" w:rsidRPr="00CF0EAB" w:rsidRDefault="00CF0EAB" w:rsidP="00CB6346">
            <w:pPr>
              <w:jc w:val="both"/>
              <w:rPr>
                <w:sz w:val="20"/>
                <w:szCs w:val="20"/>
              </w:rPr>
            </w:pPr>
            <w:r>
              <w:rPr>
                <w:sz w:val="20"/>
                <w:szCs w:val="20"/>
              </w:rPr>
              <w:t>Electricity</w:t>
            </w:r>
          </w:p>
        </w:tc>
        <w:tc>
          <w:tcPr>
            <w:tcW w:w="6633" w:type="dxa"/>
          </w:tcPr>
          <w:p w14:paraId="41D655F5" w14:textId="77777777" w:rsidR="00CF0EAB" w:rsidRDefault="008F6836" w:rsidP="00630057">
            <w:pPr>
              <w:pStyle w:val="ListParagraph"/>
              <w:numPr>
                <w:ilvl w:val="0"/>
                <w:numId w:val="24"/>
              </w:numPr>
              <w:ind w:left="320" w:hanging="283"/>
              <w:jc w:val="both"/>
              <w:rPr>
                <w:sz w:val="20"/>
                <w:szCs w:val="20"/>
              </w:rPr>
            </w:pPr>
            <w:r>
              <w:rPr>
                <w:sz w:val="20"/>
                <w:szCs w:val="20"/>
              </w:rPr>
              <w:t>Switch Off</w:t>
            </w:r>
          </w:p>
          <w:p w14:paraId="1B14BC69" w14:textId="6EE1C20A" w:rsidR="008F6836" w:rsidRDefault="008F6836" w:rsidP="00630057">
            <w:pPr>
              <w:pStyle w:val="ListParagraph"/>
              <w:numPr>
                <w:ilvl w:val="0"/>
                <w:numId w:val="24"/>
              </w:numPr>
              <w:ind w:left="320" w:hanging="283"/>
              <w:jc w:val="both"/>
              <w:rPr>
                <w:sz w:val="20"/>
                <w:szCs w:val="20"/>
              </w:rPr>
            </w:pPr>
            <w:r>
              <w:rPr>
                <w:sz w:val="20"/>
                <w:szCs w:val="20"/>
              </w:rPr>
              <w:t>High efficiency equipment and appliances</w:t>
            </w:r>
          </w:p>
          <w:p w14:paraId="7D6A22CA" w14:textId="0B961ADB" w:rsidR="008F6836" w:rsidRPr="001312D6" w:rsidRDefault="001312D6" w:rsidP="001312D6">
            <w:pPr>
              <w:pStyle w:val="ListParagraph"/>
              <w:numPr>
                <w:ilvl w:val="0"/>
                <w:numId w:val="24"/>
              </w:numPr>
              <w:ind w:left="320" w:hanging="283"/>
              <w:jc w:val="both"/>
              <w:rPr>
                <w:sz w:val="20"/>
                <w:szCs w:val="20"/>
              </w:rPr>
            </w:pPr>
            <w:r w:rsidRPr="001312D6">
              <w:rPr>
                <w:sz w:val="20"/>
                <w:szCs w:val="20"/>
              </w:rPr>
              <w:t xml:space="preserve">LED </w:t>
            </w:r>
            <w:r w:rsidR="008F6836" w:rsidRPr="001312D6">
              <w:rPr>
                <w:sz w:val="20"/>
                <w:szCs w:val="20"/>
              </w:rPr>
              <w:t>lighting</w:t>
            </w:r>
            <w:r w:rsidRPr="001312D6">
              <w:rPr>
                <w:sz w:val="20"/>
                <w:szCs w:val="20"/>
              </w:rPr>
              <w:t xml:space="preserve"> and controls</w:t>
            </w:r>
          </w:p>
          <w:p w14:paraId="120DC046" w14:textId="4D1E7AC5" w:rsidR="001312D6" w:rsidRDefault="001312D6" w:rsidP="00630057">
            <w:pPr>
              <w:pStyle w:val="ListParagraph"/>
              <w:numPr>
                <w:ilvl w:val="0"/>
                <w:numId w:val="24"/>
              </w:numPr>
              <w:ind w:left="320" w:hanging="283"/>
              <w:jc w:val="both"/>
              <w:rPr>
                <w:sz w:val="20"/>
                <w:szCs w:val="20"/>
              </w:rPr>
            </w:pPr>
            <w:r>
              <w:rPr>
                <w:sz w:val="20"/>
                <w:szCs w:val="20"/>
              </w:rPr>
              <w:t>ITS including controls on printers and projectors</w:t>
            </w:r>
          </w:p>
          <w:p w14:paraId="6DA91560" w14:textId="5737C858" w:rsidR="008F6836" w:rsidRDefault="008F6836" w:rsidP="00630057">
            <w:pPr>
              <w:pStyle w:val="ListParagraph"/>
              <w:numPr>
                <w:ilvl w:val="0"/>
                <w:numId w:val="24"/>
              </w:numPr>
              <w:ind w:left="320" w:hanging="283"/>
              <w:jc w:val="both"/>
              <w:rPr>
                <w:sz w:val="20"/>
                <w:szCs w:val="20"/>
              </w:rPr>
            </w:pPr>
            <w:r>
              <w:rPr>
                <w:sz w:val="20"/>
                <w:szCs w:val="20"/>
              </w:rPr>
              <w:t xml:space="preserve">Self-generation </w:t>
            </w:r>
          </w:p>
          <w:p w14:paraId="1D96FB32" w14:textId="0F9F5874" w:rsidR="008F6836" w:rsidRDefault="008F6836" w:rsidP="00630057">
            <w:pPr>
              <w:pStyle w:val="ListParagraph"/>
              <w:numPr>
                <w:ilvl w:val="0"/>
                <w:numId w:val="24"/>
              </w:numPr>
              <w:ind w:left="320" w:hanging="283"/>
              <w:jc w:val="both"/>
              <w:rPr>
                <w:sz w:val="20"/>
                <w:szCs w:val="20"/>
              </w:rPr>
            </w:pPr>
            <w:r>
              <w:rPr>
                <w:sz w:val="20"/>
                <w:szCs w:val="20"/>
              </w:rPr>
              <w:t>AMR in outstanding buildings</w:t>
            </w:r>
          </w:p>
          <w:p w14:paraId="1AADC1EC" w14:textId="6CF4C020" w:rsidR="008F6836" w:rsidRPr="002106A1" w:rsidRDefault="006F0510" w:rsidP="002106A1">
            <w:pPr>
              <w:pStyle w:val="ListParagraph"/>
              <w:numPr>
                <w:ilvl w:val="0"/>
                <w:numId w:val="24"/>
              </w:numPr>
              <w:ind w:left="320" w:hanging="283"/>
              <w:jc w:val="both"/>
              <w:rPr>
                <w:sz w:val="20"/>
                <w:szCs w:val="20"/>
              </w:rPr>
            </w:pPr>
            <w:r>
              <w:rPr>
                <w:sz w:val="20"/>
                <w:szCs w:val="20"/>
              </w:rPr>
              <w:t>Space Management</w:t>
            </w:r>
          </w:p>
        </w:tc>
      </w:tr>
      <w:tr w:rsidR="00CF0EAB" w14:paraId="4DA0EB2B" w14:textId="77777777" w:rsidTr="001312D6">
        <w:tc>
          <w:tcPr>
            <w:tcW w:w="710" w:type="dxa"/>
          </w:tcPr>
          <w:p w14:paraId="5642A791" w14:textId="7ED2B538" w:rsidR="00CF0EAB" w:rsidRPr="00CF0EAB" w:rsidRDefault="00CF0EAB" w:rsidP="00CF0EAB">
            <w:pPr>
              <w:jc w:val="center"/>
              <w:rPr>
                <w:sz w:val="20"/>
                <w:szCs w:val="20"/>
              </w:rPr>
            </w:pPr>
            <w:r>
              <w:rPr>
                <w:sz w:val="20"/>
                <w:szCs w:val="20"/>
              </w:rPr>
              <w:t>3</w:t>
            </w:r>
          </w:p>
        </w:tc>
        <w:tc>
          <w:tcPr>
            <w:tcW w:w="3113" w:type="dxa"/>
          </w:tcPr>
          <w:p w14:paraId="56233A45" w14:textId="5E9D45B8" w:rsidR="00CF0EAB" w:rsidRPr="00CF0EAB" w:rsidRDefault="00CF0EAB" w:rsidP="00CB6346">
            <w:pPr>
              <w:jc w:val="both"/>
              <w:rPr>
                <w:sz w:val="20"/>
                <w:szCs w:val="20"/>
              </w:rPr>
            </w:pPr>
            <w:r>
              <w:rPr>
                <w:sz w:val="20"/>
                <w:szCs w:val="20"/>
              </w:rPr>
              <w:t>Waste &amp; Recycling</w:t>
            </w:r>
          </w:p>
        </w:tc>
        <w:tc>
          <w:tcPr>
            <w:tcW w:w="6633" w:type="dxa"/>
          </w:tcPr>
          <w:p w14:paraId="12EF1EA8" w14:textId="77777777" w:rsidR="00CF0EAB" w:rsidRDefault="001312D6" w:rsidP="00630057">
            <w:pPr>
              <w:pStyle w:val="ListParagraph"/>
              <w:numPr>
                <w:ilvl w:val="0"/>
                <w:numId w:val="24"/>
              </w:numPr>
              <w:ind w:left="320" w:hanging="283"/>
              <w:jc w:val="both"/>
              <w:rPr>
                <w:sz w:val="20"/>
                <w:szCs w:val="20"/>
              </w:rPr>
            </w:pPr>
            <w:r>
              <w:rPr>
                <w:sz w:val="20"/>
                <w:szCs w:val="20"/>
              </w:rPr>
              <w:t>Waste hierarchy</w:t>
            </w:r>
          </w:p>
          <w:p w14:paraId="6B2BF73B" w14:textId="46D60CD6" w:rsidR="001312D6" w:rsidRDefault="001312D6" w:rsidP="00630057">
            <w:pPr>
              <w:pStyle w:val="ListParagraph"/>
              <w:numPr>
                <w:ilvl w:val="0"/>
                <w:numId w:val="24"/>
              </w:numPr>
              <w:ind w:left="320" w:hanging="283"/>
              <w:jc w:val="both"/>
              <w:rPr>
                <w:sz w:val="20"/>
                <w:szCs w:val="20"/>
              </w:rPr>
            </w:pPr>
            <w:r>
              <w:rPr>
                <w:sz w:val="20"/>
                <w:szCs w:val="20"/>
              </w:rPr>
              <w:t>Provision of accurate data for all waste streams</w:t>
            </w:r>
          </w:p>
          <w:p w14:paraId="3C7BC53C" w14:textId="48BFF364" w:rsidR="001312D6" w:rsidRDefault="001312D6" w:rsidP="00630057">
            <w:pPr>
              <w:pStyle w:val="ListParagraph"/>
              <w:numPr>
                <w:ilvl w:val="0"/>
                <w:numId w:val="24"/>
              </w:numPr>
              <w:ind w:left="320" w:hanging="283"/>
              <w:jc w:val="both"/>
              <w:rPr>
                <w:sz w:val="20"/>
                <w:szCs w:val="20"/>
              </w:rPr>
            </w:pPr>
            <w:r>
              <w:rPr>
                <w:sz w:val="20"/>
                <w:szCs w:val="20"/>
              </w:rPr>
              <w:t>Building contractors to provide data</w:t>
            </w:r>
          </w:p>
          <w:p w14:paraId="207F45AE" w14:textId="23E8F811" w:rsidR="001312D6" w:rsidRPr="002106A1" w:rsidRDefault="006F0510" w:rsidP="002106A1">
            <w:pPr>
              <w:pStyle w:val="ListParagraph"/>
              <w:numPr>
                <w:ilvl w:val="0"/>
                <w:numId w:val="24"/>
              </w:numPr>
              <w:ind w:left="320" w:hanging="283"/>
              <w:jc w:val="both"/>
              <w:rPr>
                <w:sz w:val="20"/>
                <w:szCs w:val="20"/>
              </w:rPr>
            </w:pPr>
            <w:r>
              <w:rPr>
                <w:sz w:val="20"/>
                <w:szCs w:val="20"/>
              </w:rPr>
              <w:t xml:space="preserve">Waste </w:t>
            </w:r>
            <w:r w:rsidR="001312D6">
              <w:rPr>
                <w:sz w:val="20"/>
                <w:szCs w:val="20"/>
              </w:rPr>
              <w:t>audits</w:t>
            </w:r>
          </w:p>
        </w:tc>
      </w:tr>
      <w:tr w:rsidR="00CF0EAB" w14:paraId="40C6F153" w14:textId="77777777" w:rsidTr="001312D6">
        <w:tc>
          <w:tcPr>
            <w:tcW w:w="710" w:type="dxa"/>
          </w:tcPr>
          <w:p w14:paraId="316AAAFC" w14:textId="740F1089" w:rsidR="00CF0EAB" w:rsidRPr="00CF0EAB" w:rsidRDefault="00F41BF2" w:rsidP="00CF0EAB">
            <w:pPr>
              <w:jc w:val="center"/>
              <w:rPr>
                <w:sz w:val="20"/>
                <w:szCs w:val="20"/>
              </w:rPr>
            </w:pPr>
            <w:r>
              <w:rPr>
                <w:sz w:val="20"/>
                <w:szCs w:val="20"/>
              </w:rPr>
              <w:t>3</w:t>
            </w:r>
          </w:p>
        </w:tc>
        <w:tc>
          <w:tcPr>
            <w:tcW w:w="3113" w:type="dxa"/>
          </w:tcPr>
          <w:p w14:paraId="642E61A2" w14:textId="42C3F454" w:rsidR="00CF0EAB" w:rsidRPr="00CF0EAB" w:rsidRDefault="00CF0EAB" w:rsidP="00CB6346">
            <w:pPr>
              <w:jc w:val="both"/>
              <w:rPr>
                <w:sz w:val="20"/>
                <w:szCs w:val="20"/>
              </w:rPr>
            </w:pPr>
            <w:r>
              <w:rPr>
                <w:sz w:val="20"/>
                <w:szCs w:val="20"/>
              </w:rPr>
              <w:t>Water Supply &amp; Treatment</w:t>
            </w:r>
          </w:p>
        </w:tc>
        <w:tc>
          <w:tcPr>
            <w:tcW w:w="6633" w:type="dxa"/>
          </w:tcPr>
          <w:p w14:paraId="0F173F9D" w14:textId="5AD4A91A" w:rsidR="001312D6" w:rsidRDefault="001312D6" w:rsidP="00630057">
            <w:pPr>
              <w:pStyle w:val="ListParagraph"/>
              <w:numPr>
                <w:ilvl w:val="0"/>
                <w:numId w:val="24"/>
              </w:numPr>
              <w:ind w:left="320" w:hanging="283"/>
              <w:jc w:val="both"/>
              <w:rPr>
                <w:sz w:val="20"/>
                <w:szCs w:val="20"/>
              </w:rPr>
            </w:pPr>
            <w:r>
              <w:rPr>
                <w:sz w:val="20"/>
                <w:szCs w:val="20"/>
              </w:rPr>
              <w:t>Completion of non-concussive taps</w:t>
            </w:r>
          </w:p>
          <w:p w14:paraId="2B682C9A" w14:textId="18D6C903" w:rsidR="001312D6" w:rsidRDefault="001312D6" w:rsidP="00630057">
            <w:pPr>
              <w:pStyle w:val="ListParagraph"/>
              <w:numPr>
                <w:ilvl w:val="0"/>
                <w:numId w:val="24"/>
              </w:numPr>
              <w:ind w:left="320" w:hanging="283"/>
              <w:jc w:val="both"/>
              <w:rPr>
                <w:sz w:val="20"/>
                <w:szCs w:val="20"/>
              </w:rPr>
            </w:pPr>
            <w:r>
              <w:rPr>
                <w:sz w:val="20"/>
                <w:szCs w:val="20"/>
              </w:rPr>
              <w:t>Completion of waterless urinal conversion</w:t>
            </w:r>
          </w:p>
          <w:p w14:paraId="3C7CD340" w14:textId="77777777" w:rsidR="001312D6" w:rsidRDefault="001312D6" w:rsidP="001312D6">
            <w:pPr>
              <w:pStyle w:val="ListParagraph"/>
              <w:numPr>
                <w:ilvl w:val="0"/>
                <w:numId w:val="24"/>
              </w:numPr>
              <w:ind w:left="320" w:hanging="283"/>
              <w:jc w:val="both"/>
              <w:rPr>
                <w:sz w:val="20"/>
                <w:szCs w:val="20"/>
              </w:rPr>
            </w:pPr>
            <w:r>
              <w:rPr>
                <w:sz w:val="20"/>
                <w:szCs w:val="20"/>
              </w:rPr>
              <w:lastRenderedPageBreak/>
              <w:t>Low flow showers</w:t>
            </w:r>
          </w:p>
          <w:p w14:paraId="7CA0FF39" w14:textId="77777777" w:rsidR="001312D6" w:rsidRDefault="001312D6" w:rsidP="001312D6">
            <w:pPr>
              <w:pStyle w:val="ListParagraph"/>
              <w:numPr>
                <w:ilvl w:val="0"/>
                <w:numId w:val="24"/>
              </w:numPr>
              <w:ind w:left="320" w:hanging="283"/>
              <w:jc w:val="both"/>
              <w:rPr>
                <w:sz w:val="20"/>
                <w:szCs w:val="20"/>
              </w:rPr>
            </w:pPr>
            <w:r>
              <w:rPr>
                <w:sz w:val="20"/>
                <w:szCs w:val="20"/>
              </w:rPr>
              <w:t>Best practice flow kitchen taps</w:t>
            </w:r>
          </w:p>
          <w:p w14:paraId="4C0EC873" w14:textId="77777777" w:rsidR="001312D6" w:rsidRDefault="001312D6" w:rsidP="001312D6">
            <w:pPr>
              <w:pStyle w:val="ListParagraph"/>
              <w:numPr>
                <w:ilvl w:val="0"/>
                <w:numId w:val="24"/>
              </w:numPr>
              <w:ind w:left="320" w:hanging="283"/>
              <w:jc w:val="both"/>
              <w:rPr>
                <w:sz w:val="20"/>
                <w:szCs w:val="20"/>
              </w:rPr>
            </w:pPr>
            <w:r>
              <w:rPr>
                <w:sz w:val="20"/>
                <w:szCs w:val="20"/>
              </w:rPr>
              <w:t>Cistern volume reduction</w:t>
            </w:r>
          </w:p>
          <w:p w14:paraId="626466C1" w14:textId="085C2685" w:rsidR="001312D6" w:rsidRPr="002106A1" w:rsidRDefault="001312D6" w:rsidP="002106A1">
            <w:pPr>
              <w:pStyle w:val="ListParagraph"/>
              <w:numPr>
                <w:ilvl w:val="0"/>
                <w:numId w:val="24"/>
              </w:numPr>
              <w:ind w:left="320" w:hanging="283"/>
              <w:jc w:val="both"/>
              <w:rPr>
                <w:sz w:val="20"/>
                <w:szCs w:val="20"/>
              </w:rPr>
            </w:pPr>
            <w:r>
              <w:rPr>
                <w:sz w:val="20"/>
                <w:szCs w:val="20"/>
              </w:rPr>
              <w:t>AMR</w:t>
            </w:r>
          </w:p>
        </w:tc>
      </w:tr>
      <w:tr w:rsidR="00CF0EAB" w14:paraId="00B84D8D" w14:textId="77777777" w:rsidTr="001312D6">
        <w:tc>
          <w:tcPr>
            <w:tcW w:w="710" w:type="dxa"/>
          </w:tcPr>
          <w:p w14:paraId="2B24D69E" w14:textId="00FA42EC" w:rsidR="00CF0EAB" w:rsidRPr="00CF0EAB" w:rsidRDefault="00F41BF2" w:rsidP="00CF0EAB">
            <w:pPr>
              <w:jc w:val="center"/>
              <w:rPr>
                <w:sz w:val="20"/>
                <w:szCs w:val="20"/>
              </w:rPr>
            </w:pPr>
            <w:r>
              <w:rPr>
                <w:sz w:val="20"/>
                <w:szCs w:val="20"/>
              </w:rPr>
              <w:lastRenderedPageBreak/>
              <w:t>3</w:t>
            </w:r>
          </w:p>
        </w:tc>
        <w:tc>
          <w:tcPr>
            <w:tcW w:w="3113" w:type="dxa"/>
          </w:tcPr>
          <w:p w14:paraId="3F4A4098" w14:textId="0382F95D" w:rsidR="00CF0EAB" w:rsidRPr="00CF0EAB" w:rsidRDefault="00CF0EAB" w:rsidP="00CB6346">
            <w:pPr>
              <w:jc w:val="both"/>
              <w:rPr>
                <w:sz w:val="20"/>
                <w:szCs w:val="20"/>
              </w:rPr>
            </w:pPr>
            <w:r>
              <w:rPr>
                <w:sz w:val="20"/>
                <w:szCs w:val="20"/>
              </w:rPr>
              <w:t>Business Travel</w:t>
            </w:r>
          </w:p>
        </w:tc>
        <w:tc>
          <w:tcPr>
            <w:tcW w:w="6633" w:type="dxa"/>
          </w:tcPr>
          <w:p w14:paraId="18B90430" w14:textId="1DE80887" w:rsidR="006F0510" w:rsidRDefault="006F0510" w:rsidP="00630057">
            <w:pPr>
              <w:pStyle w:val="ListParagraph"/>
              <w:numPr>
                <w:ilvl w:val="0"/>
                <w:numId w:val="24"/>
              </w:numPr>
              <w:ind w:left="320" w:hanging="283"/>
              <w:jc w:val="both"/>
              <w:rPr>
                <w:sz w:val="20"/>
                <w:szCs w:val="20"/>
              </w:rPr>
            </w:pPr>
            <w:r>
              <w:rPr>
                <w:sz w:val="20"/>
                <w:szCs w:val="20"/>
              </w:rPr>
              <w:t>Collate outstanding business travel data</w:t>
            </w:r>
          </w:p>
          <w:p w14:paraId="1DD06266" w14:textId="0D412F1C" w:rsidR="00CF0EAB" w:rsidRDefault="006F0510" w:rsidP="00630057">
            <w:pPr>
              <w:pStyle w:val="ListParagraph"/>
              <w:numPr>
                <w:ilvl w:val="0"/>
                <w:numId w:val="24"/>
              </w:numPr>
              <w:ind w:left="320" w:hanging="283"/>
              <w:jc w:val="both"/>
              <w:rPr>
                <w:sz w:val="20"/>
                <w:szCs w:val="20"/>
              </w:rPr>
            </w:pPr>
            <w:r>
              <w:rPr>
                <w:sz w:val="20"/>
                <w:szCs w:val="20"/>
              </w:rPr>
              <w:t>Promote use of Travel Management Company for travel booking</w:t>
            </w:r>
          </w:p>
          <w:p w14:paraId="7361E2A8" w14:textId="062BF863" w:rsidR="006F0510" w:rsidRDefault="006F0510" w:rsidP="00630057">
            <w:pPr>
              <w:pStyle w:val="ListParagraph"/>
              <w:numPr>
                <w:ilvl w:val="0"/>
                <w:numId w:val="24"/>
              </w:numPr>
              <w:ind w:left="320" w:hanging="283"/>
              <w:jc w:val="both"/>
              <w:rPr>
                <w:sz w:val="20"/>
                <w:szCs w:val="20"/>
              </w:rPr>
            </w:pPr>
            <w:r>
              <w:rPr>
                <w:sz w:val="20"/>
                <w:szCs w:val="20"/>
              </w:rPr>
              <w:t>Work to ensure travel claims provide the required information</w:t>
            </w:r>
          </w:p>
          <w:p w14:paraId="2FE849B8" w14:textId="77777777" w:rsidR="002520EE" w:rsidRDefault="002520EE" w:rsidP="00630057">
            <w:pPr>
              <w:pStyle w:val="ListParagraph"/>
              <w:numPr>
                <w:ilvl w:val="0"/>
                <w:numId w:val="24"/>
              </w:numPr>
              <w:ind w:left="320" w:hanging="283"/>
              <w:jc w:val="both"/>
              <w:rPr>
                <w:sz w:val="20"/>
                <w:szCs w:val="20"/>
              </w:rPr>
            </w:pPr>
            <w:r>
              <w:rPr>
                <w:sz w:val="20"/>
                <w:szCs w:val="20"/>
              </w:rPr>
              <w:t>Agree travel protocols</w:t>
            </w:r>
          </w:p>
          <w:p w14:paraId="1E9CCEDA" w14:textId="7D6D4E35" w:rsidR="006F0510" w:rsidRPr="00630057" w:rsidRDefault="002520EE" w:rsidP="00630057">
            <w:pPr>
              <w:pStyle w:val="ListParagraph"/>
              <w:numPr>
                <w:ilvl w:val="0"/>
                <w:numId w:val="24"/>
              </w:numPr>
              <w:ind w:left="320" w:hanging="283"/>
              <w:jc w:val="both"/>
              <w:rPr>
                <w:sz w:val="20"/>
                <w:szCs w:val="20"/>
              </w:rPr>
            </w:pPr>
            <w:r>
              <w:rPr>
                <w:sz w:val="20"/>
                <w:szCs w:val="20"/>
              </w:rPr>
              <w:t>Promote e</w:t>
            </w:r>
            <w:r w:rsidR="006F0510">
              <w:rPr>
                <w:sz w:val="20"/>
                <w:szCs w:val="20"/>
              </w:rPr>
              <w:t>ssential only travel</w:t>
            </w:r>
          </w:p>
        </w:tc>
      </w:tr>
      <w:tr w:rsidR="00CF0EAB" w14:paraId="302E0EB6" w14:textId="77777777" w:rsidTr="001312D6">
        <w:tc>
          <w:tcPr>
            <w:tcW w:w="710" w:type="dxa"/>
          </w:tcPr>
          <w:p w14:paraId="3343392A" w14:textId="1BE6019F" w:rsidR="00CF0EAB" w:rsidRPr="00CF0EAB" w:rsidRDefault="00F41BF2" w:rsidP="00CF0EAB">
            <w:pPr>
              <w:jc w:val="center"/>
              <w:rPr>
                <w:sz w:val="20"/>
                <w:szCs w:val="20"/>
              </w:rPr>
            </w:pPr>
            <w:r>
              <w:rPr>
                <w:sz w:val="20"/>
                <w:szCs w:val="20"/>
              </w:rPr>
              <w:t>3</w:t>
            </w:r>
          </w:p>
        </w:tc>
        <w:tc>
          <w:tcPr>
            <w:tcW w:w="3113" w:type="dxa"/>
          </w:tcPr>
          <w:p w14:paraId="34F4C1F9" w14:textId="5C86EBA6" w:rsidR="00CF0EAB" w:rsidRPr="00CF0EAB" w:rsidRDefault="00CF0EAB" w:rsidP="00CB6346">
            <w:pPr>
              <w:jc w:val="both"/>
              <w:rPr>
                <w:sz w:val="20"/>
                <w:szCs w:val="20"/>
              </w:rPr>
            </w:pPr>
            <w:r>
              <w:rPr>
                <w:sz w:val="20"/>
                <w:szCs w:val="20"/>
              </w:rPr>
              <w:t>Commuting</w:t>
            </w:r>
          </w:p>
        </w:tc>
        <w:tc>
          <w:tcPr>
            <w:tcW w:w="6633" w:type="dxa"/>
          </w:tcPr>
          <w:p w14:paraId="354CC729" w14:textId="77777777" w:rsidR="00CF0EAB" w:rsidRDefault="001312D6" w:rsidP="00630057">
            <w:pPr>
              <w:pStyle w:val="ListParagraph"/>
              <w:numPr>
                <w:ilvl w:val="0"/>
                <w:numId w:val="24"/>
              </w:numPr>
              <w:ind w:left="320" w:hanging="283"/>
              <w:jc w:val="both"/>
              <w:rPr>
                <w:sz w:val="20"/>
                <w:szCs w:val="20"/>
              </w:rPr>
            </w:pPr>
            <w:r>
              <w:rPr>
                <w:sz w:val="20"/>
                <w:szCs w:val="20"/>
              </w:rPr>
              <w:t>Survey to determine travel methods</w:t>
            </w:r>
          </w:p>
          <w:p w14:paraId="2CC22C66" w14:textId="676AD86A" w:rsidR="001312D6" w:rsidRPr="00630057" w:rsidRDefault="001312D6" w:rsidP="00630057">
            <w:pPr>
              <w:pStyle w:val="ListParagraph"/>
              <w:numPr>
                <w:ilvl w:val="0"/>
                <w:numId w:val="24"/>
              </w:numPr>
              <w:ind w:left="320" w:hanging="283"/>
              <w:jc w:val="both"/>
              <w:rPr>
                <w:sz w:val="20"/>
                <w:szCs w:val="20"/>
              </w:rPr>
            </w:pPr>
            <w:r>
              <w:rPr>
                <w:sz w:val="20"/>
                <w:szCs w:val="20"/>
              </w:rPr>
              <w:t>Promote alternative modes to single car use</w:t>
            </w:r>
          </w:p>
        </w:tc>
      </w:tr>
      <w:tr w:rsidR="00CF0EAB" w14:paraId="33D6D2D3" w14:textId="77777777" w:rsidTr="001312D6">
        <w:tc>
          <w:tcPr>
            <w:tcW w:w="710" w:type="dxa"/>
          </w:tcPr>
          <w:p w14:paraId="71F724CB" w14:textId="61D8F8D8" w:rsidR="00CF0EAB" w:rsidRPr="00CF0EAB" w:rsidRDefault="00F41BF2" w:rsidP="00CF0EAB">
            <w:pPr>
              <w:jc w:val="center"/>
              <w:rPr>
                <w:sz w:val="20"/>
                <w:szCs w:val="20"/>
              </w:rPr>
            </w:pPr>
            <w:r>
              <w:rPr>
                <w:sz w:val="20"/>
                <w:szCs w:val="20"/>
              </w:rPr>
              <w:t>3</w:t>
            </w:r>
          </w:p>
        </w:tc>
        <w:tc>
          <w:tcPr>
            <w:tcW w:w="3113" w:type="dxa"/>
          </w:tcPr>
          <w:p w14:paraId="314B874B" w14:textId="68CA285C" w:rsidR="00CF0EAB" w:rsidRPr="00CF0EAB" w:rsidRDefault="00CF0EAB" w:rsidP="00CB6346">
            <w:pPr>
              <w:jc w:val="both"/>
              <w:rPr>
                <w:sz w:val="20"/>
                <w:szCs w:val="20"/>
              </w:rPr>
            </w:pPr>
            <w:r>
              <w:rPr>
                <w:sz w:val="20"/>
                <w:szCs w:val="20"/>
              </w:rPr>
              <w:t>Home Working</w:t>
            </w:r>
          </w:p>
        </w:tc>
        <w:tc>
          <w:tcPr>
            <w:tcW w:w="6633" w:type="dxa"/>
          </w:tcPr>
          <w:p w14:paraId="3992125A" w14:textId="1AE5A7AC" w:rsidR="00CF0EAB" w:rsidRPr="00630057" w:rsidRDefault="001312D6" w:rsidP="00630057">
            <w:pPr>
              <w:pStyle w:val="ListParagraph"/>
              <w:numPr>
                <w:ilvl w:val="0"/>
                <w:numId w:val="24"/>
              </w:numPr>
              <w:ind w:left="320" w:hanging="283"/>
              <w:jc w:val="both"/>
              <w:rPr>
                <w:sz w:val="20"/>
                <w:szCs w:val="20"/>
              </w:rPr>
            </w:pPr>
            <w:r>
              <w:rPr>
                <w:sz w:val="20"/>
                <w:szCs w:val="20"/>
              </w:rPr>
              <w:t>Determine whether relevant</w:t>
            </w:r>
          </w:p>
        </w:tc>
      </w:tr>
      <w:tr w:rsidR="00CF0EAB" w14:paraId="57BEC905" w14:textId="77777777" w:rsidTr="001312D6">
        <w:tc>
          <w:tcPr>
            <w:tcW w:w="710" w:type="dxa"/>
          </w:tcPr>
          <w:p w14:paraId="5362B11B" w14:textId="5BCF51C4" w:rsidR="00CF0EAB" w:rsidRPr="00CF0EAB" w:rsidRDefault="00F41BF2" w:rsidP="00CF0EAB">
            <w:pPr>
              <w:jc w:val="center"/>
              <w:rPr>
                <w:sz w:val="20"/>
                <w:szCs w:val="20"/>
              </w:rPr>
            </w:pPr>
            <w:r>
              <w:rPr>
                <w:sz w:val="20"/>
                <w:szCs w:val="20"/>
              </w:rPr>
              <w:t>3</w:t>
            </w:r>
          </w:p>
        </w:tc>
        <w:tc>
          <w:tcPr>
            <w:tcW w:w="3113" w:type="dxa"/>
          </w:tcPr>
          <w:p w14:paraId="0C314B74" w14:textId="5E554880" w:rsidR="00CF0EAB" w:rsidRPr="00CF0EAB" w:rsidRDefault="00CF0EAB" w:rsidP="00CB6346">
            <w:pPr>
              <w:jc w:val="both"/>
              <w:rPr>
                <w:sz w:val="20"/>
                <w:szCs w:val="20"/>
              </w:rPr>
            </w:pPr>
            <w:r>
              <w:rPr>
                <w:sz w:val="20"/>
                <w:szCs w:val="20"/>
              </w:rPr>
              <w:t>Student Travel to &amp; from University</w:t>
            </w:r>
          </w:p>
        </w:tc>
        <w:tc>
          <w:tcPr>
            <w:tcW w:w="6633" w:type="dxa"/>
          </w:tcPr>
          <w:p w14:paraId="5A28512B" w14:textId="60B7A85E" w:rsidR="00CF0EAB" w:rsidRPr="00630057" w:rsidRDefault="001312D6" w:rsidP="00630057">
            <w:pPr>
              <w:pStyle w:val="ListParagraph"/>
              <w:numPr>
                <w:ilvl w:val="0"/>
                <w:numId w:val="24"/>
              </w:numPr>
              <w:ind w:left="320" w:hanging="283"/>
              <w:jc w:val="both"/>
              <w:rPr>
                <w:sz w:val="20"/>
                <w:szCs w:val="20"/>
              </w:rPr>
            </w:pPr>
            <w:r>
              <w:rPr>
                <w:sz w:val="20"/>
                <w:szCs w:val="20"/>
              </w:rPr>
              <w:t>Survey to determine travel methods</w:t>
            </w:r>
          </w:p>
        </w:tc>
      </w:tr>
      <w:tr w:rsidR="00F41BF2" w14:paraId="07AB056E" w14:textId="77777777" w:rsidTr="001312D6">
        <w:tc>
          <w:tcPr>
            <w:tcW w:w="710" w:type="dxa"/>
          </w:tcPr>
          <w:p w14:paraId="6796CC4A" w14:textId="3B80C5E3" w:rsidR="00F41BF2" w:rsidRPr="00CF0EAB" w:rsidRDefault="00F41BF2" w:rsidP="00CF0EAB">
            <w:pPr>
              <w:jc w:val="center"/>
              <w:rPr>
                <w:sz w:val="20"/>
                <w:szCs w:val="20"/>
              </w:rPr>
            </w:pPr>
            <w:r>
              <w:rPr>
                <w:sz w:val="20"/>
                <w:szCs w:val="20"/>
              </w:rPr>
              <w:t>3</w:t>
            </w:r>
          </w:p>
        </w:tc>
        <w:tc>
          <w:tcPr>
            <w:tcW w:w="3113" w:type="dxa"/>
          </w:tcPr>
          <w:p w14:paraId="1F282C0B" w14:textId="631F4B49" w:rsidR="00F41BF2" w:rsidRDefault="00F41BF2" w:rsidP="00CB6346">
            <w:pPr>
              <w:jc w:val="both"/>
              <w:rPr>
                <w:sz w:val="20"/>
                <w:szCs w:val="20"/>
              </w:rPr>
            </w:pPr>
            <w:r>
              <w:rPr>
                <w:sz w:val="20"/>
                <w:szCs w:val="20"/>
              </w:rPr>
              <w:t>Procurement</w:t>
            </w:r>
          </w:p>
        </w:tc>
        <w:tc>
          <w:tcPr>
            <w:tcW w:w="6633" w:type="dxa"/>
          </w:tcPr>
          <w:p w14:paraId="26B36584" w14:textId="53F0496A" w:rsidR="00F41BF2" w:rsidRPr="00E15029" w:rsidRDefault="006F0510" w:rsidP="00630057">
            <w:pPr>
              <w:pStyle w:val="ListParagraph"/>
              <w:numPr>
                <w:ilvl w:val="0"/>
                <w:numId w:val="24"/>
              </w:numPr>
              <w:ind w:left="320" w:hanging="283"/>
              <w:jc w:val="both"/>
              <w:rPr>
                <w:rFonts w:cstheme="minorHAnsi"/>
                <w:sz w:val="20"/>
                <w:szCs w:val="20"/>
              </w:rPr>
            </w:pPr>
            <w:r w:rsidRPr="00E15029">
              <w:rPr>
                <w:rFonts w:cstheme="minorHAnsi"/>
                <w:sz w:val="20"/>
                <w:szCs w:val="20"/>
              </w:rPr>
              <w:t>Promotion of essential purchases only and use Value for Money Principles</w:t>
            </w:r>
          </w:p>
          <w:p w14:paraId="6C07043E" w14:textId="08A29E5C" w:rsidR="001312D6" w:rsidRPr="00E15029" w:rsidRDefault="001312D6" w:rsidP="00630057">
            <w:pPr>
              <w:pStyle w:val="ListParagraph"/>
              <w:numPr>
                <w:ilvl w:val="0"/>
                <w:numId w:val="24"/>
              </w:numPr>
              <w:ind w:left="320" w:hanging="283"/>
              <w:jc w:val="both"/>
              <w:rPr>
                <w:rFonts w:cstheme="minorHAnsi"/>
                <w:sz w:val="20"/>
                <w:szCs w:val="20"/>
              </w:rPr>
            </w:pPr>
            <w:r w:rsidRPr="00E15029">
              <w:rPr>
                <w:rFonts w:cstheme="minorHAnsi"/>
                <w:sz w:val="20"/>
                <w:szCs w:val="20"/>
              </w:rPr>
              <w:t>Ensure suppliers are correctly coded</w:t>
            </w:r>
            <w:r w:rsidR="006F0510" w:rsidRPr="00E15029">
              <w:rPr>
                <w:rFonts w:cstheme="minorHAnsi"/>
                <w:sz w:val="20"/>
                <w:szCs w:val="20"/>
              </w:rPr>
              <w:t xml:space="preserve"> within the University’s finance system</w:t>
            </w:r>
          </w:p>
          <w:p w14:paraId="632E70D2" w14:textId="4FC01219" w:rsidR="001312D6" w:rsidRPr="00630057" w:rsidRDefault="00E15029" w:rsidP="00E15029">
            <w:pPr>
              <w:pStyle w:val="ListParagraph"/>
              <w:numPr>
                <w:ilvl w:val="0"/>
                <w:numId w:val="24"/>
              </w:numPr>
              <w:ind w:left="320" w:hanging="283"/>
              <w:jc w:val="both"/>
              <w:rPr>
                <w:sz w:val="20"/>
                <w:szCs w:val="20"/>
              </w:rPr>
            </w:pPr>
            <w:r w:rsidRPr="00E15029">
              <w:rPr>
                <w:rFonts w:cstheme="minorHAnsi"/>
                <w:sz w:val="20"/>
                <w:szCs w:val="20"/>
              </w:rPr>
              <w:t>Interrogate HESCET tool to check if double counting emissions</w:t>
            </w:r>
          </w:p>
        </w:tc>
      </w:tr>
      <w:tr w:rsidR="00F41BF2" w14:paraId="411156E0" w14:textId="77777777" w:rsidTr="001312D6">
        <w:tc>
          <w:tcPr>
            <w:tcW w:w="710" w:type="dxa"/>
          </w:tcPr>
          <w:p w14:paraId="46FBF7F8" w14:textId="56346EB4" w:rsidR="00F41BF2" w:rsidRPr="00CF0EAB" w:rsidRDefault="00F41BF2" w:rsidP="00CF0EAB">
            <w:pPr>
              <w:jc w:val="center"/>
              <w:rPr>
                <w:sz w:val="20"/>
                <w:szCs w:val="20"/>
              </w:rPr>
            </w:pPr>
            <w:r>
              <w:rPr>
                <w:sz w:val="20"/>
                <w:szCs w:val="20"/>
              </w:rPr>
              <w:t>3</w:t>
            </w:r>
          </w:p>
        </w:tc>
        <w:tc>
          <w:tcPr>
            <w:tcW w:w="3113" w:type="dxa"/>
          </w:tcPr>
          <w:p w14:paraId="4B64C8F9" w14:textId="35863704" w:rsidR="00F41BF2" w:rsidRDefault="00F41BF2" w:rsidP="00CB6346">
            <w:pPr>
              <w:jc w:val="both"/>
              <w:rPr>
                <w:sz w:val="20"/>
                <w:szCs w:val="20"/>
              </w:rPr>
            </w:pPr>
            <w:r>
              <w:rPr>
                <w:sz w:val="20"/>
                <w:szCs w:val="20"/>
              </w:rPr>
              <w:t>Investment</w:t>
            </w:r>
          </w:p>
        </w:tc>
        <w:tc>
          <w:tcPr>
            <w:tcW w:w="6633" w:type="dxa"/>
          </w:tcPr>
          <w:p w14:paraId="747ED72A" w14:textId="613AD8EF" w:rsidR="00F41BF2" w:rsidRPr="00630057" w:rsidRDefault="001312D6" w:rsidP="00630057">
            <w:pPr>
              <w:pStyle w:val="ListParagraph"/>
              <w:numPr>
                <w:ilvl w:val="0"/>
                <w:numId w:val="24"/>
              </w:numPr>
              <w:ind w:left="320" w:hanging="283"/>
              <w:jc w:val="both"/>
              <w:rPr>
                <w:sz w:val="20"/>
                <w:szCs w:val="20"/>
              </w:rPr>
            </w:pPr>
            <w:r>
              <w:rPr>
                <w:sz w:val="20"/>
                <w:szCs w:val="20"/>
              </w:rPr>
              <w:t>Investigate data source and methodologies</w:t>
            </w:r>
          </w:p>
        </w:tc>
      </w:tr>
      <w:tr w:rsidR="006F0510" w14:paraId="0824978B" w14:textId="77777777" w:rsidTr="001312D6">
        <w:tc>
          <w:tcPr>
            <w:tcW w:w="710" w:type="dxa"/>
          </w:tcPr>
          <w:p w14:paraId="2B0B33D6" w14:textId="4249AFDA" w:rsidR="006F0510" w:rsidRDefault="006F0510" w:rsidP="00CF0EAB">
            <w:pPr>
              <w:jc w:val="center"/>
              <w:rPr>
                <w:sz w:val="20"/>
                <w:szCs w:val="20"/>
              </w:rPr>
            </w:pPr>
            <w:r>
              <w:rPr>
                <w:sz w:val="20"/>
                <w:szCs w:val="20"/>
              </w:rPr>
              <w:t>ALL</w:t>
            </w:r>
          </w:p>
        </w:tc>
        <w:tc>
          <w:tcPr>
            <w:tcW w:w="3113" w:type="dxa"/>
          </w:tcPr>
          <w:p w14:paraId="67D0604C" w14:textId="77777777" w:rsidR="006F0510" w:rsidRDefault="006F0510" w:rsidP="00CB6346">
            <w:pPr>
              <w:jc w:val="both"/>
              <w:rPr>
                <w:sz w:val="20"/>
                <w:szCs w:val="20"/>
              </w:rPr>
            </w:pPr>
          </w:p>
        </w:tc>
        <w:tc>
          <w:tcPr>
            <w:tcW w:w="6633" w:type="dxa"/>
          </w:tcPr>
          <w:p w14:paraId="34DB6403" w14:textId="6A040A51" w:rsidR="006F0510" w:rsidRDefault="006F0510" w:rsidP="00630057">
            <w:pPr>
              <w:pStyle w:val="ListParagraph"/>
              <w:numPr>
                <w:ilvl w:val="0"/>
                <w:numId w:val="24"/>
              </w:numPr>
              <w:ind w:left="320" w:hanging="283"/>
              <w:jc w:val="both"/>
              <w:rPr>
                <w:sz w:val="20"/>
                <w:szCs w:val="20"/>
              </w:rPr>
            </w:pPr>
            <w:r>
              <w:rPr>
                <w:sz w:val="20"/>
                <w:szCs w:val="20"/>
              </w:rPr>
              <w:t>Improve staff and student awareness and engagement</w:t>
            </w:r>
          </w:p>
          <w:p w14:paraId="49BAD345" w14:textId="093DDE04" w:rsidR="006F0510" w:rsidRPr="002520EE" w:rsidRDefault="002106A1" w:rsidP="006F0510">
            <w:pPr>
              <w:pStyle w:val="ListParagraph"/>
              <w:numPr>
                <w:ilvl w:val="1"/>
                <w:numId w:val="24"/>
              </w:numPr>
              <w:ind w:left="607" w:hanging="283"/>
              <w:jc w:val="both"/>
              <w:rPr>
                <w:sz w:val="20"/>
                <w:szCs w:val="20"/>
              </w:rPr>
            </w:pPr>
            <w:r>
              <w:rPr>
                <w:rFonts w:ascii="Calibri" w:eastAsia="Times New Roman" w:hAnsi="Calibri" w:cs="Calibri"/>
                <w:color w:val="000000"/>
                <w:sz w:val="20"/>
                <w:szCs w:val="20"/>
                <w:lang w:eastAsia="en-GB"/>
              </w:rPr>
              <w:t>S</w:t>
            </w:r>
            <w:r w:rsidR="006F0510" w:rsidRPr="00916AF9">
              <w:rPr>
                <w:rFonts w:ascii="Calibri" w:eastAsia="Times New Roman" w:hAnsi="Calibri" w:cs="Calibri"/>
                <w:color w:val="000000"/>
                <w:sz w:val="20"/>
                <w:szCs w:val="20"/>
                <w:lang w:eastAsia="en-GB"/>
              </w:rPr>
              <w:t>ustainability website, social media</w:t>
            </w:r>
            <w:r w:rsidR="006F0510">
              <w:rPr>
                <w:rFonts w:ascii="Calibri" w:eastAsia="Times New Roman" w:hAnsi="Calibri" w:cs="Calibri"/>
                <w:color w:val="000000"/>
                <w:sz w:val="20"/>
                <w:szCs w:val="20"/>
                <w:lang w:eastAsia="en-GB"/>
              </w:rPr>
              <w:t xml:space="preserve">, </w:t>
            </w:r>
            <w:r w:rsidR="006F0510" w:rsidRPr="00916AF9">
              <w:rPr>
                <w:rFonts w:ascii="Calibri" w:eastAsia="Times New Roman" w:hAnsi="Calibri" w:cs="Calibri"/>
                <w:color w:val="000000"/>
                <w:sz w:val="20"/>
                <w:szCs w:val="20"/>
                <w:lang w:eastAsia="en-GB"/>
              </w:rPr>
              <w:t>internal communications (including inductions and student guides)</w:t>
            </w:r>
            <w:r w:rsidR="006F0510">
              <w:rPr>
                <w:rFonts w:ascii="Calibri" w:eastAsia="Times New Roman" w:hAnsi="Calibri" w:cs="Calibri"/>
                <w:color w:val="000000"/>
                <w:sz w:val="20"/>
                <w:szCs w:val="20"/>
                <w:lang w:eastAsia="en-GB"/>
              </w:rPr>
              <w:t xml:space="preserve"> and events</w:t>
            </w:r>
          </w:p>
          <w:p w14:paraId="1D0927C2" w14:textId="295D8C82" w:rsidR="002520EE" w:rsidRDefault="002520EE" w:rsidP="002520EE">
            <w:pPr>
              <w:pStyle w:val="ListParagraph"/>
              <w:numPr>
                <w:ilvl w:val="1"/>
                <w:numId w:val="24"/>
              </w:numPr>
              <w:ind w:left="607" w:hanging="283"/>
              <w:jc w:val="both"/>
              <w:rPr>
                <w:sz w:val="20"/>
                <w:szCs w:val="20"/>
              </w:rPr>
            </w:pPr>
            <w:r>
              <w:rPr>
                <w:sz w:val="20"/>
                <w:szCs w:val="20"/>
              </w:rPr>
              <w:t xml:space="preserve">Promote sustainability as part of the Health and Wellbeing initiative and the I </w:t>
            </w:r>
            <w:r w:rsidRPr="008C7AB4">
              <w:rPr>
                <w:rFonts w:ascii="Segoe UI Emoji" w:eastAsia="Times New Roman" w:hAnsi="Segoe UI Emoji" w:cs="Segoe UI Emoji"/>
                <w:color w:val="000000"/>
                <w:sz w:val="20"/>
                <w:szCs w:val="20"/>
                <w:lang w:eastAsia="en-GB"/>
              </w:rPr>
              <w:t>♥</w:t>
            </w:r>
            <w:r w:rsidRPr="008C7AB4">
              <w:rPr>
                <w:rFonts w:ascii="Calibri" w:eastAsia="Times New Roman" w:hAnsi="Calibri" w:cs="Calibri"/>
                <w:color w:val="000000"/>
                <w:sz w:val="20"/>
                <w:szCs w:val="20"/>
                <w:lang w:eastAsia="en-GB"/>
              </w:rPr>
              <w:t xml:space="preserve"> My Colleagues </w:t>
            </w:r>
            <w:r>
              <w:rPr>
                <w:rFonts w:ascii="Calibri" w:eastAsia="Times New Roman" w:hAnsi="Calibri" w:cs="Calibri"/>
                <w:color w:val="000000"/>
                <w:sz w:val="20"/>
                <w:szCs w:val="20"/>
                <w:lang w:eastAsia="en-GB"/>
              </w:rPr>
              <w:t>campaign</w:t>
            </w:r>
          </w:p>
          <w:p w14:paraId="6181E7F0" w14:textId="77777777" w:rsidR="006F0510" w:rsidRDefault="006F0510" w:rsidP="00630057">
            <w:pPr>
              <w:pStyle w:val="ListParagraph"/>
              <w:numPr>
                <w:ilvl w:val="0"/>
                <w:numId w:val="24"/>
              </w:numPr>
              <w:ind w:left="320" w:hanging="283"/>
              <w:jc w:val="both"/>
              <w:rPr>
                <w:sz w:val="20"/>
                <w:szCs w:val="20"/>
              </w:rPr>
            </w:pPr>
            <w:r>
              <w:rPr>
                <w:sz w:val="20"/>
                <w:szCs w:val="20"/>
              </w:rPr>
              <w:t>Develop the Sustainability Group to include a wider group of academic and support departments and students</w:t>
            </w:r>
          </w:p>
          <w:p w14:paraId="1CB8C388" w14:textId="77777777" w:rsidR="006F0510" w:rsidRDefault="006F0510" w:rsidP="00630057">
            <w:pPr>
              <w:pStyle w:val="ListParagraph"/>
              <w:numPr>
                <w:ilvl w:val="0"/>
                <w:numId w:val="24"/>
              </w:numPr>
              <w:ind w:left="320" w:hanging="283"/>
              <w:jc w:val="both"/>
              <w:rPr>
                <w:sz w:val="20"/>
                <w:szCs w:val="20"/>
              </w:rPr>
            </w:pPr>
            <w:r>
              <w:rPr>
                <w:sz w:val="20"/>
                <w:szCs w:val="20"/>
              </w:rPr>
              <w:t>Audits to determine baseline, progress and outstanding items</w:t>
            </w:r>
          </w:p>
          <w:p w14:paraId="400B2F5B" w14:textId="67E280AE" w:rsidR="006F0510" w:rsidRPr="002106A1" w:rsidRDefault="002106A1" w:rsidP="002106A1">
            <w:pPr>
              <w:pStyle w:val="ListParagraph"/>
              <w:numPr>
                <w:ilvl w:val="0"/>
                <w:numId w:val="24"/>
              </w:numPr>
              <w:ind w:left="320" w:hanging="283"/>
              <w:jc w:val="both"/>
              <w:rPr>
                <w:sz w:val="20"/>
                <w:szCs w:val="20"/>
              </w:rPr>
            </w:pPr>
            <w:r>
              <w:rPr>
                <w:sz w:val="20"/>
                <w:szCs w:val="20"/>
              </w:rPr>
              <w:t>Incorporate</w:t>
            </w:r>
            <w:r w:rsidR="006F0510">
              <w:rPr>
                <w:sz w:val="20"/>
                <w:szCs w:val="20"/>
              </w:rPr>
              <w:t xml:space="preserve"> low carbon building design principles</w:t>
            </w:r>
          </w:p>
        </w:tc>
      </w:tr>
    </w:tbl>
    <w:p w14:paraId="74D631D1" w14:textId="77777777" w:rsidR="00CF0EAB" w:rsidRPr="008C7AB4" w:rsidRDefault="00CF0EAB" w:rsidP="00CB6346">
      <w:pPr>
        <w:jc w:val="both"/>
        <w:rPr>
          <w:b/>
          <w:sz w:val="20"/>
          <w:szCs w:val="20"/>
        </w:rPr>
      </w:pPr>
    </w:p>
    <w:p w14:paraId="4D064E6F" w14:textId="77777777" w:rsidR="00162F2A" w:rsidRPr="00FB62F8" w:rsidRDefault="00162F2A" w:rsidP="00CB6346">
      <w:pPr>
        <w:jc w:val="both"/>
        <w:rPr>
          <w:sz w:val="16"/>
          <w:szCs w:val="16"/>
        </w:rPr>
      </w:pPr>
    </w:p>
    <w:p w14:paraId="3BA29CE0" w14:textId="655E55C4" w:rsidR="00921F7B" w:rsidRDefault="009F3422" w:rsidP="00921F7B">
      <w:pPr>
        <w:jc w:val="both"/>
      </w:pPr>
      <w:r>
        <w:t>The</w:t>
      </w:r>
      <w:r w:rsidR="00F65965">
        <w:t>se</w:t>
      </w:r>
      <w:r>
        <w:t xml:space="preserve"> projects will be prioritised </w:t>
      </w:r>
      <w:r w:rsidR="00895D5A">
        <w:t>on</w:t>
      </w:r>
      <w:r w:rsidR="00F65965">
        <w:t xml:space="preserve"> the basis of</w:t>
      </w:r>
      <w:r w:rsidR="00895D5A">
        <w:t xml:space="preserve"> carbon reduction, cost and payback period</w:t>
      </w:r>
      <w:r w:rsidR="00FD5794">
        <w:t xml:space="preserve">, and will be phased to ensure </w:t>
      </w:r>
      <w:r w:rsidR="009D0B50">
        <w:t xml:space="preserve">that </w:t>
      </w:r>
      <w:r w:rsidR="00FD5794">
        <w:t xml:space="preserve">the ‘quick wins’ are </w:t>
      </w:r>
      <w:r w:rsidR="009D0B50">
        <w:t>implemented first</w:t>
      </w:r>
      <w:r w:rsidR="00895D5A">
        <w:t>;</w:t>
      </w:r>
      <w:r w:rsidR="009D0B50">
        <w:t xml:space="preserve"> </w:t>
      </w:r>
      <w:r w:rsidR="00895D5A">
        <w:t>however, the priority of these projects are subject to change dependent on University priorities, future estate developme</w:t>
      </w:r>
      <w:r w:rsidR="00621D99">
        <w:t>nt plans and available finances.  T</w:t>
      </w:r>
      <w:r w:rsidR="00162F2A">
        <w:t xml:space="preserve">he </w:t>
      </w:r>
      <w:r w:rsidR="00C34B05">
        <w:t xml:space="preserve">continued </w:t>
      </w:r>
      <w:r w:rsidR="00162F2A">
        <w:t xml:space="preserve">installation of </w:t>
      </w:r>
      <w:r w:rsidR="00621D99">
        <w:t xml:space="preserve">gas and electricity </w:t>
      </w:r>
      <w:r w:rsidR="00162F2A">
        <w:t>sub-metering</w:t>
      </w:r>
      <w:r w:rsidR="00C34B05">
        <w:t xml:space="preserve"> </w:t>
      </w:r>
      <w:r w:rsidR="00162F2A">
        <w:t xml:space="preserve">will </w:t>
      </w:r>
      <w:r w:rsidR="009D0B50">
        <w:t xml:space="preserve">be critical to </w:t>
      </w:r>
      <w:r w:rsidR="00162F2A">
        <w:t>enable the projects to be more effectively prioritised to focus on those bu</w:t>
      </w:r>
      <w:r w:rsidR="00921F7B">
        <w:t>ildings with a high consumption.</w:t>
      </w:r>
    </w:p>
    <w:p w14:paraId="6F0D2C9F" w14:textId="6775C998" w:rsidR="002520EE" w:rsidRDefault="002520EE" w:rsidP="00921F7B">
      <w:pPr>
        <w:jc w:val="both"/>
      </w:pPr>
    </w:p>
    <w:p w14:paraId="2CC3B38C" w14:textId="165A099D" w:rsidR="002520EE" w:rsidRDefault="002520EE" w:rsidP="00921F7B">
      <w:pPr>
        <w:jc w:val="both"/>
      </w:pPr>
      <w:r>
        <w:t>The evolving nature of the Plan and the Estate means that not all the identified projects will be implemented within the lifetime of the Plan and projects will be completed which have not been identified as priorities change, buildings are refurbished and funding becomes available.</w:t>
      </w:r>
    </w:p>
    <w:p w14:paraId="209084FC" w14:textId="77777777" w:rsidR="00F24320" w:rsidRDefault="00F24320" w:rsidP="00CB6346">
      <w:pPr>
        <w:jc w:val="both"/>
      </w:pPr>
    </w:p>
    <w:p w14:paraId="0A3F7A1C" w14:textId="03DF51F0" w:rsidR="00B71B91" w:rsidRDefault="00B71B91" w:rsidP="00CB6346">
      <w:pPr>
        <w:jc w:val="both"/>
      </w:pPr>
      <w:r>
        <w:t>The University has recently published it Estates Strategy (2020 to 2025) which outlines the future development and direction of the University estate and undertakes regular (</w:t>
      </w:r>
      <w:r w:rsidR="002106A1">
        <w:t>five</w:t>
      </w:r>
      <w:r>
        <w:t xml:space="preserve"> yearly) building condition and functional suitability surveys; these feed into the Estates </w:t>
      </w:r>
      <w:r w:rsidR="00A04A36">
        <w:t>c</w:t>
      </w:r>
      <w:r>
        <w:t>apital, minor works and general maintenance project list</w:t>
      </w:r>
      <w:r w:rsidR="00A04A36">
        <w:t>s</w:t>
      </w:r>
      <w:r>
        <w:t>.  The implementation of these projects will have both a negative and positive impact on the University’s carbon emissions and wider sustainability performance, which needs to be acknowledged.  It is essential that the adoption of sustainable construction and refurbishment methods and low carbon technologies within the planned developments form an important and integral part of the Carbon Reduction Plan and will be key in delivering our carbon reduction targets.</w:t>
      </w:r>
    </w:p>
    <w:p w14:paraId="50094A10" w14:textId="77777777" w:rsidR="00B71B91" w:rsidRDefault="00B71B91" w:rsidP="00CB6346">
      <w:pPr>
        <w:jc w:val="both"/>
      </w:pPr>
    </w:p>
    <w:p w14:paraId="466009BA" w14:textId="5B008726" w:rsidR="00CB6346" w:rsidRPr="00C37BCD" w:rsidRDefault="00F24320" w:rsidP="00C37BCD">
      <w:pPr>
        <w:pStyle w:val="ListParagraph"/>
        <w:numPr>
          <w:ilvl w:val="0"/>
          <w:numId w:val="1"/>
        </w:numPr>
        <w:jc w:val="both"/>
        <w:rPr>
          <w:b/>
        </w:rPr>
      </w:pPr>
      <w:r w:rsidRPr="00C37BCD">
        <w:rPr>
          <w:b/>
        </w:rPr>
        <w:t>R</w:t>
      </w:r>
      <w:r w:rsidR="00C37BCD">
        <w:rPr>
          <w:b/>
        </w:rPr>
        <w:t>ESOURCES</w:t>
      </w:r>
    </w:p>
    <w:p w14:paraId="38E10CE4" w14:textId="77777777" w:rsidR="0065197C" w:rsidRDefault="0065197C" w:rsidP="005E03A9">
      <w:pPr>
        <w:jc w:val="both"/>
      </w:pPr>
    </w:p>
    <w:p w14:paraId="6E4AC7D8" w14:textId="429E9DD8" w:rsidR="005E03A9" w:rsidRDefault="008D6E48" w:rsidP="00B076B0">
      <w:pPr>
        <w:jc w:val="both"/>
      </w:pPr>
      <w:r>
        <w:t>The projects will be funded through various estates budgets (general maintenance, minor works and capital projects)</w:t>
      </w:r>
      <w:r w:rsidR="007F3AAF">
        <w:t xml:space="preserve"> and specific business cases will be submitted to the University as required</w:t>
      </w:r>
      <w:r w:rsidR="00F728FC">
        <w:t>;</w:t>
      </w:r>
      <w:r>
        <w:t xml:space="preserve"> other funding</w:t>
      </w:r>
      <w:r w:rsidR="007565B2">
        <w:t xml:space="preserve"> streams will </w:t>
      </w:r>
      <w:r w:rsidR="00C80B69">
        <w:t xml:space="preserve">also </w:t>
      </w:r>
      <w:r w:rsidR="007565B2">
        <w:t>be investigated</w:t>
      </w:r>
      <w:r w:rsidR="00A17F7B">
        <w:t>.  Given the financial uncertainty of the future, the University will prioritise the projects and initiatives in the most cost- and carbon- effective manner as possible to provide best value for money and increas</w:t>
      </w:r>
      <w:r w:rsidR="002F2966">
        <w:t>e in</w:t>
      </w:r>
      <w:r w:rsidR="00A17F7B">
        <w:t xml:space="preserve"> efficiencies</w:t>
      </w:r>
      <w:r w:rsidR="00B076B0">
        <w:t>; and ensure a return on investment</w:t>
      </w:r>
      <w:r w:rsidR="00A17F7B">
        <w:t>.</w:t>
      </w:r>
      <w:r w:rsidR="007F3AAF">
        <w:t xml:space="preserve">  All the projects involve staff time to ensure success, either time spent identifying and quantifying the projects, or implementing them.  The need </w:t>
      </w:r>
      <w:r w:rsidR="005E03A9">
        <w:t xml:space="preserve">to invest sooner rather than later is acknowledged especially with rising energy costs and increased budgetary pressures, securing costs savings, improving operational efficiencies and delivering value for money.  </w:t>
      </w:r>
    </w:p>
    <w:p w14:paraId="7931EB87" w14:textId="77777777" w:rsidR="005E03A9" w:rsidRDefault="005E03A9" w:rsidP="005E03A9">
      <w:pPr>
        <w:jc w:val="both"/>
      </w:pPr>
    </w:p>
    <w:p w14:paraId="0E272498" w14:textId="46ED87F6" w:rsidR="008D6E48" w:rsidRDefault="00B076B0" w:rsidP="00921F7B">
      <w:pPr>
        <w:jc w:val="both"/>
      </w:pPr>
      <w:r>
        <w:lastRenderedPageBreak/>
        <w:t xml:space="preserve">The University’s carbon reduction and sustainability objectives and targets can only be fully realised by putting sustainability at the heart of our decision making and operational processes.  </w:t>
      </w:r>
      <w:r w:rsidR="008D6E48">
        <w:t xml:space="preserve">Ongoing senior management support, staff and student engagement, and embedding environmental sustainability into all University </w:t>
      </w:r>
      <w:r w:rsidR="007F3AAF">
        <w:t>operations and decision</w:t>
      </w:r>
      <w:r w:rsidR="00C97125">
        <w:t>-</w:t>
      </w:r>
      <w:r w:rsidR="007F3AAF">
        <w:t>making processes</w:t>
      </w:r>
      <w:r w:rsidR="008D6E48">
        <w:t xml:space="preserve"> will be </w:t>
      </w:r>
      <w:r>
        <w:t>essential.</w:t>
      </w:r>
    </w:p>
    <w:p w14:paraId="669B5A49" w14:textId="77777777" w:rsidR="0041040D" w:rsidRDefault="0041040D" w:rsidP="00921F7B">
      <w:pPr>
        <w:jc w:val="both"/>
      </w:pPr>
    </w:p>
    <w:p w14:paraId="70E38606" w14:textId="304F9148" w:rsidR="0047609E" w:rsidRDefault="00F24320" w:rsidP="00921F7B">
      <w:pPr>
        <w:jc w:val="both"/>
      </w:pPr>
      <w:r>
        <w:t>This P</w:t>
      </w:r>
      <w:r w:rsidR="0041040D">
        <w:t>lan will not only ensure we achieve our reduction targets, but also will result in a financial saving</w:t>
      </w:r>
      <w:r w:rsidR="00B076B0">
        <w:t>s</w:t>
      </w:r>
      <w:r w:rsidR="0041040D">
        <w:t xml:space="preserve"> as energy, water and waste costs a</w:t>
      </w:r>
      <w:r>
        <w:t>re expected to continue to rise</w:t>
      </w:r>
      <w:r w:rsidR="00B076B0">
        <w:t>; will realised significant improvements in the operation and maintenance of the estate;</w:t>
      </w:r>
      <w:r>
        <w:t xml:space="preserve"> and will positively support the implementation of our broader </w:t>
      </w:r>
      <w:r w:rsidR="007F3AAF">
        <w:t>Policy</w:t>
      </w:r>
      <w:r>
        <w:t xml:space="preserve"> to embed sustainability across the University.</w:t>
      </w:r>
    </w:p>
    <w:p w14:paraId="52E098A5" w14:textId="77777777" w:rsidR="00430C0D" w:rsidRDefault="00430C0D"/>
    <w:p w14:paraId="245C00C5" w14:textId="7F8E8592" w:rsidR="00430C0D" w:rsidRPr="00430C0D" w:rsidRDefault="00A17F7B" w:rsidP="00430C0D">
      <w:pPr>
        <w:pStyle w:val="ListParagraph"/>
        <w:numPr>
          <w:ilvl w:val="0"/>
          <w:numId w:val="1"/>
        </w:numPr>
        <w:rPr>
          <w:b/>
          <w:bCs/>
        </w:rPr>
      </w:pPr>
      <w:r>
        <w:rPr>
          <w:b/>
          <w:bCs/>
        </w:rPr>
        <w:t xml:space="preserve">CARBON </w:t>
      </w:r>
      <w:r w:rsidR="00864839">
        <w:rPr>
          <w:b/>
          <w:bCs/>
        </w:rPr>
        <w:t>REDUCTION</w:t>
      </w:r>
      <w:r>
        <w:rPr>
          <w:b/>
          <w:bCs/>
        </w:rPr>
        <w:t xml:space="preserve"> 2020+</w:t>
      </w:r>
    </w:p>
    <w:p w14:paraId="3966E606" w14:textId="77777777" w:rsidR="0065197C" w:rsidRDefault="0065197C" w:rsidP="00430C0D">
      <w:pPr>
        <w:jc w:val="both"/>
        <w:rPr>
          <w:rFonts w:cstheme="minorHAnsi"/>
        </w:rPr>
      </w:pPr>
    </w:p>
    <w:p w14:paraId="61B1F4E5" w14:textId="2CB8677D" w:rsidR="00430C0D" w:rsidRPr="00430C0D" w:rsidRDefault="00430C0D" w:rsidP="00430C0D">
      <w:pPr>
        <w:jc w:val="both"/>
        <w:rPr>
          <w:rFonts w:cstheme="minorHAnsi"/>
        </w:rPr>
      </w:pPr>
      <w:r w:rsidRPr="00430C0D">
        <w:rPr>
          <w:rFonts w:cstheme="minorHAnsi"/>
        </w:rPr>
        <w:t>We can only plan and deal with the knowns today (including legislation and technology).  There are many moving parts and many unanswered questions, if, buts and maybes and our plans and strategies will need to remain flexible and be adjusted as new legislation/guidelines are published</w:t>
      </w:r>
      <w:r w:rsidR="0036681A">
        <w:rPr>
          <w:rFonts w:cstheme="minorHAnsi"/>
        </w:rPr>
        <w:t xml:space="preserve">, as </w:t>
      </w:r>
      <w:r w:rsidRPr="00430C0D">
        <w:rPr>
          <w:rFonts w:cstheme="minorHAnsi"/>
        </w:rPr>
        <w:t xml:space="preserve">emerging technologies become more </w:t>
      </w:r>
      <w:r w:rsidR="005E03A9">
        <w:rPr>
          <w:rFonts w:cstheme="minorHAnsi"/>
        </w:rPr>
        <w:t>readily available and cost effective</w:t>
      </w:r>
      <w:r w:rsidR="0036681A">
        <w:rPr>
          <w:rFonts w:cstheme="minorHAnsi"/>
        </w:rPr>
        <w:t>, and as new technologies are created</w:t>
      </w:r>
      <w:r w:rsidRPr="00430C0D">
        <w:rPr>
          <w:rFonts w:cstheme="minorHAnsi"/>
        </w:rPr>
        <w:t xml:space="preserve">.  </w:t>
      </w:r>
      <w:bookmarkStart w:id="1" w:name="_Hlk50111538"/>
      <w:r w:rsidRPr="00430C0D">
        <w:rPr>
          <w:rFonts w:cstheme="minorHAnsi"/>
        </w:rPr>
        <w:t>We need to start making changes and acting now, despite the many unknowns.</w:t>
      </w:r>
    </w:p>
    <w:bookmarkEnd w:id="1"/>
    <w:p w14:paraId="030CD1E2" w14:textId="77777777" w:rsidR="00430C0D" w:rsidRPr="00430C0D" w:rsidRDefault="00430C0D" w:rsidP="00430C0D">
      <w:pPr>
        <w:jc w:val="both"/>
        <w:rPr>
          <w:rFonts w:cstheme="minorHAnsi"/>
        </w:rPr>
      </w:pPr>
    </w:p>
    <w:p w14:paraId="1DDC72AB" w14:textId="78855EBE" w:rsidR="00430C0D" w:rsidRPr="00430C0D" w:rsidRDefault="00430C0D" w:rsidP="00430C0D">
      <w:pPr>
        <w:jc w:val="both"/>
        <w:rPr>
          <w:rFonts w:cstheme="minorHAnsi"/>
        </w:rPr>
      </w:pPr>
      <w:r w:rsidRPr="00430C0D">
        <w:rPr>
          <w:rFonts w:cstheme="minorHAnsi"/>
        </w:rPr>
        <w:t xml:space="preserve">Scope 1 and 2 should be our priority, but all scopes and emission sources offer different opportunities to cut carbon.  </w:t>
      </w:r>
      <w:r w:rsidR="001358F9">
        <w:rPr>
          <w:rFonts w:cstheme="minorHAnsi"/>
        </w:rPr>
        <w:t xml:space="preserve">The full commitment of senior management, and the required investment, is required to drive our net zero agenda forward.  </w:t>
      </w:r>
      <w:r w:rsidRPr="00430C0D">
        <w:rPr>
          <w:rFonts w:cstheme="minorHAnsi"/>
        </w:rPr>
        <w:t>Achieving net zero emissions will be a</w:t>
      </w:r>
      <w:r w:rsidR="002520EE">
        <w:rPr>
          <w:rFonts w:cstheme="minorHAnsi"/>
        </w:rPr>
        <w:t>n</w:t>
      </w:r>
      <w:r w:rsidRPr="00430C0D">
        <w:rPr>
          <w:rFonts w:cstheme="minorHAnsi"/>
        </w:rPr>
        <w:t xml:space="preserve"> </w:t>
      </w:r>
      <w:r w:rsidR="00F10678">
        <w:rPr>
          <w:rFonts w:cstheme="minorHAnsi"/>
        </w:rPr>
        <w:t>enormous</w:t>
      </w:r>
      <w:r w:rsidRPr="00430C0D">
        <w:rPr>
          <w:rFonts w:cstheme="minorHAnsi"/>
        </w:rPr>
        <w:t xml:space="preserve"> challenge (but not insurmountable), requiring a major mind shift and some difficult decisions to be made and there will be substantial costs involved.  It must not be underestimated, or underdiscussed.  There will also be positive benefits, for the environment, attracting and retaining staff and students, offering a more attractive proposition to investors, enhanced credibility and brand reputation, create a competitive advantage, increased resilience given likely future regulation and legislation, and future proofing the University.</w:t>
      </w:r>
    </w:p>
    <w:p w14:paraId="2D27BA01" w14:textId="77777777" w:rsidR="00430C0D" w:rsidRPr="00430C0D" w:rsidRDefault="00430C0D" w:rsidP="00430C0D">
      <w:pPr>
        <w:jc w:val="both"/>
        <w:rPr>
          <w:rFonts w:cstheme="minorHAnsi"/>
        </w:rPr>
      </w:pPr>
    </w:p>
    <w:p w14:paraId="68178576" w14:textId="56B0553F" w:rsidR="00430C0D" w:rsidRDefault="00430C0D" w:rsidP="00430C0D">
      <w:pPr>
        <w:jc w:val="both"/>
        <w:rPr>
          <w:rFonts w:cstheme="minorHAnsi"/>
        </w:rPr>
      </w:pPr>
      <w:r w:rsidRPr="00430C0D">
        <w:rPr>
          <w:rFonts w:cstheme="minorHAnsi"/>
        </w:rPr>
        <w:t xml:space="preserve">Currently, the only legally binding target is the Government’s net zero greenhouse gases by 2050; but in order for the Government to reach its target it is likely that regulations and legislation will increase; and with the </w:t>
      </w:r>
      <w:proofErr w:type="spellStart"/>
      <w:r w:rsidRPr="00430C0D">
        <w:rPr>
          <w:rFonts w:cstheme="minorHAnsi"/>
        </w:rPr>
        <w:t>OfS</w:t>
      </w:r>
      <w:proofErr w:type="spellEnd"/>
      <w:r w:rsidRPr="00430C0D">
        <w:rPr>
          <w:rFonts w:cstheme="minorHAnsi"/>
        </w:rPr>
        <w:t xml:space="preserve"> taking a greater interest in sustainability within institutions it is likely that sector guidelines / targets will be introduced.  </w:t>
      </w:r>
    </w:p>
    <w:p w14:paraId="2E39DB7A" w14:textId="20EF46CC" w:rsidR="00F76997" w:rsidRDefault="00F76997" w:rsidP="00430C0D">
      <w:pPr>
        <w:jc w:val="both"/>
        <w:rPr>
          <w:rFonts w:cstheme="minorHAnsi"/>
        </w:rPr>
      </w:pPr>
    </w:p>
    <w:p w14:paraId="167BBD1B" w14:textId="241262BE" w:rsidR="008D06C6" w:rsidRDefault="008D06C6" w:rsidP="00430C0D">
      <w:pPr>
        <w:jc w:val="both"/>
        <w:rPr>
          <w:rFonts w:cstheme="minorHAnsi"/>
        </w:rPr>
      </w:pPr>
    </w:p>
    <w:p w14:paraId="7062D3C2" w14:textId="1A62B749" w:rsidR="008D06C6" w:rsidRDefault="008D06C6" w:rsidP="00430C0D">
      <w:pPr>
        <w:jc w:val="both"/>
        <w:rPr>
          <w:rFonts w:cstheme="minorHAnsi"/>
        </w:rPr>
      </w:pPr>
    </w:p>
    <w:p w14:paraId="581E1E18" w14:textId="16756FDD" w:rsidR="008D06C6" w:rsidRDefault="008D06C6" w:rsidP="00430C0D">
      <w:pPr>
        <w:jc w:val="both"/>
        <w:rPr>
          <w:rFonts w:cstheme="minorHAnsi"/>
        </w:rPr>
      </w:pPr>
    </w:p>
    <w:p w14:paraId="32512F67" w14:textId="6F944C25" w:rsidR="008D06C6" w:rsidRDefault="008D06C6" w:rsidP="00430C0D">
      <w:pPr>
        <w:jc w:val="both"/>
        <w:rPr>
          <w:rFonts w:cstheme="minorHAnsi"/>
        </w:rPr>
      </w:pPr>
    </w:p>
    <w:p w14:paraId="273A1D75" w14:textId="7B88C846" w:rsidR="008D06C6" w:rsidRDefault="008D06C6" w:rsidP="00430C0D">
      <w:pPr>
        <w:jc w:val="both"/>
        <w:rPr>
          <w:rFonts w:cstheme="minorHAnsi"/>
        </w:rPr>
      </w:pPr>
    </w:p>
    <w:p w14:paraId="49781D2A" w14:textId="2003B84A" w:rsidR="008D06C6" w:rsidRDefault="008D06C6" w:rsidP="00430C0D">
      <w:pPr>
        <w:jc w:val="both"/>
        <w:rPr>
          <w:rFonts w:cstheme="minorHAnsi"/>
        </w:rPr>
      </w:pPr>
    </w:p>
    <w:p w14:paraId="49C1B52A" w14:textId="274FF4A2" w:rsidR="008D06C6" w:rsidRDefault="008D06C6" w:rsidP="00430C0D">
      <w:pPr>
        <w:jc w:val="both"/>
        <w:rPr>
          <w:rFonts w:cstheme="minorHAnsi"/>
        </w:rPr>
      </w:pPr>
    </w:p>
    <w:p w14:paraId="4168C5AA" w14:textId="6B73EA4A" w:rsidR="008D06C6" w:rsidRDefault="008D06C6" w:rsidP="00430C0D">
      <w:pPr>
        <w:jc w:val="both"/>
        <w:rPr>
          <w:rFonts w:cstheme="minorHAnsi"/>
        </w:rPr>
      </w:pPr>
    </w:p>
    <w:p w14:paraId="58F0096D" w14:textId="0BA66DD9" w:rsidR="008D06C6" w:rsidRDefault="008D06C6" w:rsidP="00430C0D">
      <w:pPr>
        <w:jc w:val="both"/>
        <w:rPr>
          <w:rFonts w:cstheme="minorHAnsi"/>
        </w:rPr>
      </w:pPr>
    </w:p>
    <w:p w14:paraId="0AD0C9BE" w14:textId="06D84270" w:rsidR="008D06C6" w:rsidRDefault="008D06C6" w:rsidP="00430C0D">
      <w:pPr>
        <w:jc w:val="both"/>
        <w:rPr>
          <w:rFonts w:cstheme="minorHAnsi"/>
        </w:rPr>
      </w:pPr>
    </w:p>
    <w:p w14:paraId="31796FF2" w14:textId="1AC865AB" w:rsidR="008D06C6" w:rsidRDefault="008D06C6" w:rsidP="00430C0D">
      <w:pPr>
        <w:jc w:val="both"/>
        <w:rPr>
          <w:rFonts w:cstheme="minorHAnsi"/>
        </w:rPr>
      </w:pPr>
    </w:p>
    <w:p w14:paraId="14F100EE" w14:textId="7CBD5996" w:rsidR="008D06C6" w:rsidRDefault="008D06C6" w:rsidP="00430C0D">
      <w:pPr>
        <w:jc w:val="both"/>
        <w:rPr>
          <w:rFonts w:cstheme="minorHAnsi"/>
        </w:rPr>
      </w:pPr>
    </w:p>
    <w:p w14:paraId="0722D95D" w14:textId="5EF980A7" w:rsidR="008D06C6" w:rsidRDefault="008D06C6" w:rsidP="00430C0D">
      <w:pPr>
        <w:jc w:val="both"/>
        <w:rPr>
          <w:rFonts w:cstheme="minorHAnsi"/>
        </w:rPr>
      </w:pPr>
    </w:p>
    <w:p w14:paraId="24C96587" w14:textId="77777777" w:rsidR="008D06C6" w:rsidRDefault="008D06C6" w:rsidP="00430C0D">
      <w:pPr>
        <w:jc w:val="both"/>
        <w:rPr>
          <w:rFonts w:cstheme="minorHAnsi"/>
        </w:rPr>
      </w:pPr>
      <w:bookmarkStart w:id="2" w:name="_GoBack"/>
      <w:bookmarkEnd w:id="2"/>
    </w:p>
    <w:p w14:paraId="42089289" w14:textId="0E433570" w:rsidR="0047609E" w:rsidRDefault="0047609E" w:rsidP="00430C0D"/>
    <w:tbl>
      <w:tblPr>
        <w:tblStyle w:val="TableGrid"/>
        <w:tblW w:w="0" w:type="auto"/>
        <w:jc w:val="center"/>
        <w:tblLook w:val="04A0" w:firstRow="1" w:lastRow="0" w:firstColumn="1" w:lastColumn="0" w:noHBand="0" w:noVBand="1"/>
      </w:tblPr>
      <w:tblGrid>
        <w:gridCol w:w="2122"/>
        <w:gridCol w:w="992"/>
        <w:gridCol w:w="1417"/>
        <w:gridCol w:w="1985"/>
        <w:gridCol w:w="1843"/>
      </w:tblGrid>
      <w:tr w:rsidR="008D06C6" w:rsidRPr="00392382" w14:paraId="30F026C0" w14:textId="77777777" w:rsidTr="00905DB1">
        <w:trPr>
          <w:jc w:val="center"/>
        </w:trPr>
        <w:tc>
          <w:tcPr>
            <w:tcW w:w="2122" w:type="dxa"/>
          </w:tcPr>
          <w:p w14:paraId="1D14EEA3" w14:textId="77777777" w:rsidR="008D06C6" w:rsidRDefault="008D06C6" w:rsidP="00905DB1">
            <w:pPr>
              <w:rPr>
                <w:rFonts w:cstheme="minorHAnsi"/>
              </w:rPr>
            </w:pPr>
          </w:p>
        </w:tc>
        <w:tc>
          <w:tcPr>
            <w:tcW w:w="992" w:type="dxa"/>
          </w:tcPr>
          <w:p w14:paraId="4713993D" w14:textId="77777777" w:rsidR="008D06C6" w:rsidRPr="00392382" w:rsidRDefault="008D06C6" w:rsidP="00905DB1">
            <w:pPr>
              <w:rPr>
                <w:rFonts w:cstheme="minorHAnsi"/>
                <w:b/>
              </w:rPr>
            </w:pPr>
            <w:r w:rsidRPr="00392382">
              <w:rPr>
                <w:rFonts w:cstheme="minorHAnsi"/>
                <w:b/>
              </w:rPr>
              <w:t>Version</w:t>
            </w:r>
          </w:p>
        </w:tc>
        <w:tc>
          <w:tcPr>
            <w:tcW w:w="1417" w:type="dxa"/>
          </w:tcPr>
          <w:p w14:paraId="55EA9193" w14:textId="77777777" w:rsidR="008D06C6" w:rsidRPr="00392382" w:rsidRDefault="008D06C6" w:rsidP="00905DB1">
            <w:pPr>
              <w:rPr>
                <w:rFonts w:cstheme="minorHAnsi"/>
                <w:b/>
              </w:rPr>
            </w:pPr>
            <w:r w:rsidRPr="00392382">
              <w:rPr>
                <w:rFonts w:cstheme="minorHAnsi"/>
                <w:b/>
              </w:rPr>
              <w:t>Date</w:t>
            </w:r>
          </w:p>
        </w:tc>
        <w:tc>
          <w:tcPr>
            <w:tcW w:w="1985" w:type="dxa"/>
          </w:tcPr>
          <w:p w14:paraId="22DF9B22" w14:textId="77777777" w:rsidR="008D06C6" w:rsidRPr="00392382" w:rsidRDefault="008D06C6" w:rsidP="00905DB1">
            <w:pPr>
              <w:rPr>
                <w:rFonts w:cstheme="minorHAnsi"/>
                <w:b/>
              </w:rPr>
            </w:pPr>
            <w:r w:rsidRPr="00392382">
              <w:rPr>
                <w:rFonts w:cstheme="minorHAnsi"/>
                <w:b/>
              </w:rPr>
              <w:t>Details</w:t>
            </w:r>
          </w:p>
        </w:tc>
        <w:tc>
          <w:tcPr>
            <w:tcW w:w="1843" w:type="dxa"/>
          </w:tcPr>
          <w:p w14:paraId="774F1BF3" w14:textId="77777777" w:rsidR="008D06C6" w:rsidRPr="00392382" w:rsidRDefault="008D06C6" w:rsidP="00905DB1">
            <w:pPr>
              <w:rPr>
                <w:rFonts w:cstheme="minorHAnsi"/>
                <w:b/>
              </w:rPr>
            </w:pPr>
            <w:r w:rsidRPr="00392382">
              <w:rPr>
                <w:rFonts w:cstheme="minorHAnsi"/>
                <w:b/>
              </w:rPr>
              <w:t>Issued by</w:t>
            </w:r>
          </w:p>
        </w:tc>
      </w:tr>
      <w:tr w:rsidR="008D06C6" w14:paraId="1906318D" w14:textId="77777777" w:rsidTr="00905DB1">
        <w:trPr>
          <w:jc w:val="center"/>
        </w:trPr>
        <w:tc>
          <w:tcPr>
            <w:tcW w:w="2122" w:type="dxa"/>
            <w:tcBorders>
              <w:bottom w:val="single" w:sz="4" w:space="0" w:color="auto"/>
            </w:tcBorders>
          </w:tcPr>
          <w:p w14:paraId="080B55C4" w14:textId="77777777" w:rsidR="008D06C6" w:rsidRPr="00392382" w:rsidRDefault="008D06C6" w:rsidP="00905DB1">
            <w:pPr>
              <w:rPr>
                <w:rFonts w:cstheme="minorHAnsi"/>
                <w:b/>
              </w:rPr>
            </w:pPr>
            <w:r w:rsidRPr="00392382">
              <w:rPr>
                <w:rFonts w:cstheme="minorHAnsi"/>
                <w:b/>
              </w:rPr>
              <w:t>Approved by USET</w:t>
            </w:r>
          </w:p>
        </w:tc>
        <w:tc>
          <w:tcPr>
            <w:tcW w:w="992" w:type="dxa"/>
            <w:tcBorders>
              <w:bottom w:val="single" w:sz="4" w:space="0" w:color="auto"/>
            </w:tcBorders>
          </w:tcPr>
          <w:p w14:paraId="35E5F4A7" w14:textId="77777777" w:rsidR="008D06C6" w:rsidRDefault="008D06C6" w:rsidP="00905DB1">
            <w:pPr>
              <w:jc w:val="center"/>
              <w:rPr>
                <w:rFonts w:cstheme="minorHAnsi"/>
              </w:rPr>
            </w:pPr>
            <w:r>
              <w:rPr>
                <w:rFonts w:cstheme="minorHAnsi"/>
              </w:rPr>
              <w:t>1</w:t>
            </w:r>
          </w:p>
        </w:tc>
        <w:tc>
          <w:tcPr>
            <w:tcW w:w="1417" w:type="dxa"/>
            <w:tcBorders>
              <w:bottom w:val="single" w:sz="4" w:space="0" w:color="auto"/>
            </w:tcBorders>
          </w:tcPr>
          <w:p w14:paraId="51E78A33" w14:textId="77777777" w:rsidR="008D06C6" w:rsidRDefault="008D06C6" w:rsidP="00905DB1">
            <w:pPr>
              <w:rPr>
                <w:rFonts w:cstheme="minorHAnsi"/>
              </w:rPr>
            </w:pPr>
            <w:r>
              <w:rPr>
                <w:rFonts w:cstheme="minorHAnsi"/>
              </w:rPr>
              <w:t>22/11/2021</w:t>
            </w:r>
          </w:p>
        </w:tc>
        <w:tc>
          <w:tcPr>
            <w:tcW w:w="1985" w:type="dxa"/>
            <w:tcBorders>
              <w:bottom w:val="single" w:sz="4" w:space="0" w:color="auto"/>
            </w:tcBorders>
          </w:tcPr>
          <w:p w14:paraId="3AADB712" w14:textId="77777777" w:rsidR="008D06C6" w:rsidRDefault="008D06C6" w:rsidP="00905DB1">
            <w:pPr>
              <w:rPr>
                <w:rFonts w:cstheme="minorHAnsi"/>
              </w:rPr>
            </w:pPr>
            <w:r>
              <w:rPr>
                <w:rFonts w:cstheme="minorHAnsi"/>
              </w:rPr>
              <w:t>Original document</w:t>
            </w:r>
          </w:p>
        </w:tc>
        <w:tc>
          <w:tcPr>
            <w:tcW w:w="1843" w:type="dxa"/>
            <w:tcBorders>
              <w:bottom w:val="single" w:sz="4" w:space="0" w:color="auto"/>
            </w:tcBorders>
          </w:tcPr>
          <w:p w14:paraId="355500A3" w14:textId="77777777" w:rsidR="008D06C6" w:rsidRDefault="008D06C6" w:rsidP="00905DB1">
            <w:pPr>
              <w:rPr>
                <w:rFonts w:cstheme="minorHAnsi"/>
              </w:rPr>
            </w:pPr>
            <w:r>
              <w:rPr>
                <w:rFonts w:cstheme="minorHAnsi"/>
              </w:rPr>
              <w:t>Suzanne Moody</w:t>
            </w:r>
          </w:p>
        </w:tc>
      </w:tr>
      <w:tr w:rsidR="008D06C6" w14:paraId="4D2DEC48" w14:textId="77777777" w:rsidTr="00905DB1">
        <w:trPr>
          <w:jc w:val="center"/>
        </w:trPr>
        <w:tc>
          <w:tcPr>
            <w:tcW w:w="2122" w:type="dxa"/>
            <w:tcBorders>
              <w:top w:val="single" w:sz="4" w:space="0" w:color="auto"/>
              <w:left w:val="nil"/>
              <w:bottom w:val="nil"/>
              <w:right w:val="nil"/>
            </w:tcBorders>
          </w:tcPr>
          <w:p w14:paraId="1DA7BAE0" w14:textId="77777777" w:rsidR="008D06C6" w:rsidRDefault="008D06C6" w:rsidP="00905DB1">
            <w:pPr>
              <w:rPr>
                <w:rFonts w:cstheme="minorHAnsi"/>
              </w:rPr>
            </w:pPr>
          </w:p>
        </w:tc>
        <w:tc>
          <w:tcPr>
            <w:tcW w:w="992" w:type="dxa"/>
            <w:tcBorders>
              <w:top w:val="single" w:sz="4" w:space="0" w:color="auto"/>
              <w:left w:val="nil"/>
              <w:bottom w:val="nil"/>
              <w:right w:val="nil"/>
            </w:tcBorders>
          </w:tcPr>
          <w:p w14:paraId="46B8F63F" w14:textId="77777777" w:rsidR="008D06C6" w:rsidRDefault="008D06C6" w:rsidP="00905DB1">
            <w:pPr>
              <w:rPr>
                <w:rFonts w:cstheme="minorHAnsi"/>
              </w:rPr>
            </w:pPr>
          </w:p>
        </w:tc>
        <w:tc>
          <w:tcPr>
            <w:tcW w:w="1417" w:type="dxa"/>
            <w:tcBorders>
              <w:top w:val="single" w:sz="4" w:space="0" w:color="auto"/>
              <w:left w:val="nil"/>
              <w:bottom w:val="nil"/>
              <w:right w:val="nil"/>
            </w:tcBorders>
          </w:tcPr>
          <w:p w14:paraId="40CBA4AE" w14:textId="77777777" w:rsidR="008D06C6" w:rsidRDefault="008D06C6" w:rsidP="00905DB1">
            <w:pPr>
              <w:rPr>
                <w:rFonts w:cstheme="minorHAnsi"/>
              </w:rPr>
            </w:pPr>
          </w:p>
        </w:tc>
        <w:tc>
          <w:tcPr>
            <w:tcW w:w="1985" w:type="dxa"/>
            <w:tcBorders>
              <w:top w:val="single" w:sz="4" w:space="0" w:color="auto"/>
              <w:left w:val="nil"/>
              <w:bottom w:val="single" w:sz="4" w:space="0" w:color="auto"/>
              <w:right w:val="nil"/>
            </w:tcBorders>
          </w:tcPr>
          <w:p w14:paraId="5F798039" w14:textId="77777777" w:rsidR="008D06C6" w:rsidRDefault="008D06C6" w:rsidP="00905DB1">
            <w:pPr>
              <w:rPr>
                <w:rFonts w:cstheme="minorHAnsi"/>
              </w:rPr>
            </w:pPr>
          </w:p>
        </w:tc>
        <w:tc>
          <w:tcPr>
            <w:tcW w:w="1843" w:type="dxa"/>
            <w:tcBorders>
              <w:top w:val="single" w:sz="4" w:space="0" w:color="auto"/>
              <w:left w:val="nil"/>
              <w:bottom w:val="single" w:sz="4" w:space="0" w:color="auto"/>
              <w:right w:val="nil"/>
            </w:tcBorders>
          </w:tcPr>
          <w:p w14:paraId="533902D1" w14:textId="77777777" w:rsidR="008D06C6" w:rsidRDefault="008D06C6" w:rsidP="00905DB1">
            <w:pPr>
              <w:rPr>
                <w:rFonts w:cstheme="minorHAnsi"/>
              </w:rPr>
            </w:pPr>
          </w:p>
        </w:tc>
      </w:tr>
      <w:tr w:rsidR="008D06C6" w14:paraId="62DF05D2" w14:textId="77777777" w:rsidTr="00905DB1">
        <w:trPr>
          <w:jc w:val="center"/>
        </w:trPr>
        <w:tc>
          <w:tcPr>
            <w:tcW w:w="2122" w:type="dxa"/>
            <w:tcBorders>
              <w:top w:val="nil"/>
              <w:left w:val="nil"/>
              <w:bottom w:val="nil"/>
              <w:right w:val="nil"/>
            </w:tcBorders>
          </w:tcPr>
          <w:p w14:paraId="75CE769F" w14:textId="77777777" w:rsidR="008D06C6" w:rsidRDefault="008D06C6" w:rsidP="00905DB1">
            <w:pPr>
              <w:rPr>
                <w:rFonts w:cstheme="minorHAnsi"/>
              </w:rPr>
            </w:pPr>
          </w:p>
        </w:tc>
        <w:tc>
          <w:tcPr>
            <w:tcW w:w="992" w:type="dxa"/>
            <w:tcBorders>
              <w:top w:val="nil"/>
              <w:left w:val="nil"/>
              <w:bottom w:val="nil"/>
              <w:right w:val="nil"/>
            </w:tcBorders>
          </w:tcPr>
          <w:p w14:paraId="0CA9A441" w14:textId="77777777" w:rsidR="008D06C6" w:rsidRDefault="008D06C6" w:rsidP="00905DB1">
            <w:pPr>
              <w:rPr>
                <w:rFonts w:cstheme="minorHAnsi"/>
              </w:rPr>
            </w:pPr>
          </w:p>
        </w:tc>
        <w:tc>
          <w:tcPr>
            <w:tcW w:w="1417" w:type="dxa"/>
            <w:tcBorders>
              <w:top w:val="nil"/>
              <w:left w:val="nil"/>
              <w:bottom w:val="nil"/>
              <w:right w:val="single" w:sz="4" w:space="0" w:color="auto"/>
            </w:tcBorders>
          </w:tcPr>
          <w:p w14:paraId="630F1A11" w14:textId="77777777" w:rsidR="008D06C6" w:rsidRDefault="008D06C6" w:rsidP="00905DB1">
            <w:pPr>
              <w:rPr>
                <w:rFonts w:cstheme="minorHAnsi"/>
              </w:rPr>
            </w:pPr>
          </w:p>
        </w:tc>
        <w:tc>
          <w:tcPr>
            <w:tcW w:w="1985" w:type="dxa"/>
            <w:tcBorders>
              <w:top w:val="single" w:sz="4" w:space="0" w:color="auto"/>
              <w:left w:val="single" w:sz="4" w:space="0" w:color="auto"/>
              <w:bottom w:val="single" w:sz="4" w:space="0" w:color="auto"/>
              <w:right w:val="single" w:sz="4" w:space="0" w:color="auto"/>
            </w:tcBorders>
          </w:tcPr>
          <w:p w14:paraId="5567F0D1" w14:textId="77777777" w:rsidR="008D06C6" w:rsidRPr="00392382" w:rsidRDefault="008D06C6" w:rsidP="00905DB1">
            <w:pPr>
              <w:rPr>
                <w:rFonts w:cstheme="minorHAnsi"/>
                <w:b/>
              </w:rPr>
            </w:pPr>
            <w:r w:rsidRPr="00392382">
              <w:rPr>
                <w:rFonts w:cstheme="minorHAnsi"/>
                <w:b/>
              </w:rPr>
              <w:t>Review date:</w:t>
            </w:r>
          </w:p>
        </w:tc>
        <w:tc>
          <w:tcPr>
            <w:tcW w:w="1843" w:type="dxa"/>
            <w:tcBorders>
              <w:top w:val="single" w:sz="4" w:space="0" w:color="auto"/>
              <w:left w:val="single" w:sz="4" w:space="0" w:color="auto"/>
              <w:bottom w:val="single" w:sz="4" w:space="0" w:color="auto"/>
              <w:right w:val="single" w:sz="4" w:space="0" w:color="auto"/>
            </w:tcBorders>
          </w:tcPr>
          <w:p w14:paraId="0F8E5852" w14:textId="77777777" w:rsidR="008D06C6" w:rsidRDefault="008D06C6" w:rsidP="00905DB1">
            <w:pPr>
              <w:rPr>
                <w:rFonts w:cstheme="minorHAnsi"/>
              </w:rPr>
            </w:pPr>
            <w:r>
              <w:rPr>
                <w:rFonts w:cstheme="minorHAnsi"/>
              </w:rPr>
              <w:t>22/11/2022</w:t>
            </w:r>
          </w:p>
        </w:tc>
      </w:tr>
    </w:tbl>
    <w:p w14:paraId="3C0885EB" w14:textId="77777777" w:rsidR="00A03296" w:rsidRDefault="00A03296">
      <w:pPr>
        <w:rPr>
          <w:b/>
          <w:bCs/>
          <w:sz w:val="28"/>
          <w:szCs w:val="28"/>
        </w:rPr>
      </w:pPr>
      <w:r>
        <w:rPr>
          <w:b/>
          <w:bCs/>
          <w:sz w:val="28"/>
          <w:szCs w:val="28"/>
        </w:rPr>
        <w:br w:type="page"/>
      </w:r>
    </w:p>
    <w:p w14:paraId="4F8E5B47" w14:textId="08478D68" w:rsidR="007977F3" w:rsidRPr="0040090D" w:rsidRDefault="007977F3" w:rsidP="007977F3">
      <w:pPr>
        <w:rPr>
          <w:b/>
          <w:bCs/>
          <w:sz w:val="28"/>
          <w:szCs w:val="28"/>
        </w:rPr>
      </w:pPr>
      <w:r w:rsidRPr="007977F3">
        <w:rPr>
          <w:b/>
          <w:bCs/>
          <w:sz w:val="28"/>
          <w:szCs w:val="28"/>
        </w:rPr>
        <w:lastRenderedPageBreak/>
        <w:t xml:space="preserve">Appendix </w:t>
      </w:r>
      <w:r>
        <w:rPr>
          <w:b/>
          <w:bCs/>
          <w:sz w:val="28"/>
          <w:szCs w:val="28"/>
        </w:rPr>
        <w:t>A</w:t>
      </w:r>
      <w:r w:rsidRPr="007977F3">
        <w:rPr>
          <w:b/>
          <w:bCs/>
          <w:sz w:val="28"/>
          <w:szCs w:val="28"/>
        </w:rPr>
        <w:t>. Carbon footprint</w:t>
      </w:r>
      <w:r w:rsidR="0040090D">
        <w:rPr>
          <w:b/>
          <w:bCs/>
          <w:sz w:val="28"/>
          <w:szCs w:val="28"/>
        </w:rPr>
        <w:t xml:space="preserve"> (tonnes CO</w:t>
      </w:r>
      <w:r w:rsidR="0040090D">
        <w:rPr>
          <w:b/>
          <w:bCs/>
          <w:sz w:val="28"/>
          <w:szCs w:val="28"/>
          <w:vertAlign w:val="subscript"/>
        </w:rPr>
        <w:t>2</w:t>
      </w:r>
      <w:r w:rsidR="0040090D">
        <w:rPr>
          <w:b/>
          <w:bCs/>
          <w:sz w:val="28"/>
          <w:szCs w:val="28"/>
        </w:rPr>
        <w:t>e)</w:t>
      </w:r>
    </w:p>
    <w:p w14:paraId="2CDA05CF" w14:textId="77777777" w:rsidR="00D22C58" w:rsidRDefault="00D22C58">
      <w:pPr>
        <w:rPr>
          <w:b/>
          <w:bCs/>
          <w:sz w:val="28"/>
          <w:szCs w:val="28"/>
        </w:rPr>
      </w:pPr>
    </w:p>
    <w:p w14:paraId="7130F3AC" w14:textId="3D41FF93" w:rsidR="007977F3" w:rsidRDefault="002520EE">
      <w:pPr>
        <w:rPr>
          <w:b/>
          <w:bCs/>
          <w:sz w:val="28"/>
          <w:szCs w:val="28"/>
        </w:rPr>
      </w:pPr>
      <w:r w:rsidRPr="002520EE">
        <w:t xml:space="preserve"> </w:t>
      </w:r>
      <w:r w:rsidR="00A04A36" w:rsidRPr="00A04A36">
        <w:rPr>
          <w:noProof/>
        </w:rPr>
        <w:drawing>
          <wp:inline distT="0" distB="0" distL="0" distR="0" wp14:anchorId="0753B8C2" wp14:editId="376AFA58">
            <wp:extent cx="6645910" cy="215680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45910" cy="2156807"/>
                    </a:xfrm>
                    <a:prstGeom prst="rect">
                      <a:avLst/>
                    </a:prstGeom>
                    <a:noFill/>
                    <a:ln>
                      <a:noFill/>
                    </a:ln>
                  </pic:spPr>
                </pic:pic>
              </a:graphicData>
            </a:graphic>
          </wp:inline>
        </w:drawing>
      </w:r>
      <w:r w:rsidR="007977F3">
        <w:rPr>
          <w:b/>
          <w:bCs/>
          <w:sz w:val="28"/>
          <w:szCs w:val="28"/>
        </w:rPr>
        <w:br w:type="page"/>
      </w:r>
    </w:p>
    <w:p w14:paraId="57CCCC73" w14:textId="323688F5" w:rsidR="0041040D" w:rsidRPr="002B6D8A" w:rsidRDefault="0047609E" w:rsidP="00921F7B">
      <w:pPr>
        <w:jc w:val="both"/>
        <w:rPr>
          <w:b/>
          <w:bCs/>
          <w:sz w:val="28"/>
          <w:szCs w:val="28"/>
        </w:rPr>
      </w:pPr>
      <w:r w:rsidRPr="002B6D8A">
        <w:rPr>
          <w:b/>
          <w:bCs/>
          <w:sz w:val="28"/>
          <w:szCs w:val="28"/>
        </w:rPr>
        <w:lastRenderedPageBreak/>
        <w:t xml:space="preserve">Appendix </w:t>
      </w:r>
      <w:r w:rsidR="007977F3">
        <w:rPr>
          <w:b/>
          <w:bCs/>
          <w:sz w:val="28"/>
          <w:szCs w:val="28"/>
        </w:rPr>
        <w:t>B</w:t>
      </w:r>
      <w:r w:rsidRPr="002B6D8A">
        <w:rPr>
          <w:b/>
          <w:bCs/>
          <w:sz w:val="28"/>
          <w:szCs w:val="28"/>
        </w:rPr>
        <w:t>.  Data sources</w:t>
      </w:r>
    </w:p>
    <w:p w14:paraId="5213A78E" w14:textId="77777777" w:rsidR="004E18C1" w:rsidRPr="006C2684" w:rsidRDefault="004E18C1" w:rsidP="00921F7B">
      <w:pPr>
        <w:jc w:val="both"/>
        <w:rPr>
          <w:b/>
          <w:sz w:val="16"/>
          <w:szCs w:val="16"/>
        </w:rPr>
      </w:pPr>
    </w:p>
    <w:tbl>
      <w:tblPr>
        <w:tblStyle w:val="TableGrid"/>
        <w:tblW w:w="10524" w:type="dxa"/>
        <w:tblInd w:w="-5" w:type="dxa"/>
        <w:tblLook w:val="04A0" w:firstRow="1" w:lastRow="0" w:firstColumn="1" w:lastColumn="0" w:noHBand="0" w:noVBand="1"/>
      </w:tblPr>
      <w:tblGrid>
        <w:gridCol w:w="711"/>
        <w:gridCol w:w="2266"/>
        <w:gridCol w:w="3119"/>
        <w:gridCol w:w="3377"/>
        <w:gridCol w:w="1051"/>
      </w:tblGrid>
      <w:tr w:rsidR="006146A8" w14:paraId="46932BF7" w14:textId="5B85DB4E" w:rsidTr="00E04536">
        <w:tc>
          <w:tcPr>
            <w:tcW w:w="711" w:type="dxa"/>
          </w:tcPr>
          <w:p w14:paraId="0FD1F10D" w14:textId="544FE674" w:rsidR="006146A8" w:rsidRPr="00122D68" w:rsidRDefault="006146A8" w:rsidP="002B6D8A">
            <w:pPr>
              <w:pStyle w:val="ListParagraph"/>
              <w:ind w:left="0"/>
              <w:jc w:val="both"/>
              <w:rPr>
                <w:rFonts w:cstheme="minorHAnsi"/>
                <w:b/>
                <w:bCs/>
                <w:sz w:val="20"/>
                <w:szCs w:val="20"/>
              </w:rPr>
            </w:pPr>
            <w:r w:rsidRPr="00122D68">
              <w:rPr>
                <w:rFonts w:cstheme="minorHAnsi"/>
                <w:b/>
                <w:sz w:val="20"/>
                <w:szCs w:val="20"/>
              </w:rPr>
              <w:t>Scope</w:t>
            </w:r>
          </w:p>
        </w:tc>
        <w:tc>
          <w:tcPr>
            <w:tcW w:w="2266" w:type="dxa"/>
          </w:tcPr>
          <w:p w14:paraId="04194808" w14:textId="47EBBC2E" w:rsidR="006146A8" w:rsidRPr="00122D68" w:rsidRDefault="006146A8" w:rsidP="0032603A">
            <w:pPr>
              <w:rPr>
                <w:rFonts w:cstheme="minorHAnsi"/>
                <w:b/>
                <w:bCs/>
                <w:sz w:val="20"/>
                <w:szCs w:val="20"/>
              </w:rPr>
            </w:pPr>
            <w:r w:rsidRPr="00122D68">
              <w:rPr>
                <w:rFonts w:cstheme="minorHAnsi"/>
                <w:b/>
                <w:sz w:val="20"/>
                <w:szCs w:val="20"/>
              </w:rPr>
              <w:t>Emissions Source</w:t>
            </w:r>
          </w:p>
        </w:tc>
        <w:tc>
          <w:tcPr>
            <w:tcW w:w="3119" w:type="dxa"/>
          </w:tcPr>
          <w:p w14:paraId="5F003228" w14:textId="6E06E788" w:rsidR="006146A8" w:rsidRPr="00122D68" w:rsidRDefault="006146A8" w:rsidP="002B6D8A">
            <w:pPr>
              <w:jc w:val="both"/>
              <w:rPr>
                <w:rFonts w:cstheme="minorHAnsi"/>
                <w:b/>
                <w:bCs/>
                <w:sz w:val="20"/>
                <w:szCs w:val="20"/>
              </w:rPr>
            </w:pPr>
            <w:r w:rsidRPr="00122D68">
              <w:rPr>
                <w:rFonts w:cstheme="minorHAnsi"/>
                <w:b/>
                <w:bCs/>
                <w:sz w:val="20"/>
                <w:szCs w:val="20"/>
              </w:rPr>
              <w:t>Source</w:t>
            </w:r>
          </w:p>
        </w:tc>
        <w:tc>
          <w:tcPr>
            <w:tcW w:w="3377" w:type="dxa"/>
          </w:tcPr>
          <w:p w14:paraId="58ED193F" w14:textId="107B2326" w:rsidR="006146A8" w:rsidRPr="00122D68" w:rsidRDefault="006146A8" w:rsidP="002B6D8A">
            <w:pPr>
              <w:jc w:val="both"/>
              <w:rPr>
                <w:rFonts w:cstheme="minorHAnsi"/>
                <w:b/>
                <w:bCs/>
                <w:sz w:val="20"/>
                <w:szCs w:val="20"/>
              </w:rPr>
            </w:pPr>
            <w:r w:rsidRPr="00122D68">
              <w:rPr>
                <w:rFonts w:cstheme="minorHAnsi"/>
                <w:b/>
                <w:bCs/>
                <w:sz w:val="20"/>
                <w:szCs w:val="20"/>
              </w:rPr>
              <w:t>Details</w:t>
            </w:r>
          </w:p>
        </w:tc>
        <w:tc>
          <w:tcPr>
            <w:tcW w:w="1051" w:type="dxa"/>
          </w:tcPr>
          <w:p w14:paraId="393B198D" w14:textId="01C8EF09" w:rsidR="006146A8" w:rsidRPr="00122D68" w:rsidRDefault="006146A8" w:rsidP="006146A8">
            <w:pPr>
              <w:ind w:right="-108"/>
              <w:jc w:val="center"/>
              <w:rPr>
                <w:rFonts w:cstheme="minorHAnsi"/>
                <w:b/>
                <w:bCs/>
                <w:sz w:val="20"/>
                <w:szCs w:val="20"/>
              </w:rPr>
            </w:pPr>
            <w:r w:rsidRPr="00122D68">
              <w:rPr>
                <w:rFonts w:cstheme="minorHAnsi"/>
                <w:b/>
                <w:bCs/>
                <w:sz w:val="20"/>
                <w:szCs w:val="20"/>
              </w:rPr>
              <w:t>Accurate / Estimated</w:t>
            </w:r>
          </w:p>
        </w:tc>
      </w:tr>
      <w:tr w:rsidR="006146A8" w14:paraId="55122E1F" w14:textId="2B500460" w:rsidTr="00E04536">
        <w:tc>
          <w:tcPr>
            <w:tcW w:w="711" w:type="dxa"/>
          </w:tcPr>
          <w:p w14:paraId="63E2263A" w14:textId="60E91A69" w:rsidR="006146A8" w:rsidRPr="00122D68" w:rsidRDefault="006146A8" w:rsidP="00430C0D">
            <w:pPr>
              <w:pStyle w:val="ListParagraph"/>
              <w:ind w:left="0"/>
              <w:jc w:val="center"/>
              <w:rPr>
                <w:rFonts w:cstheme="minorHAnsi"/>
                <w:sz w:val="20"/>
                <w:szCs w:val="20"/>
              </w:rPr>
            </w:pPr>
            <w:r w:rsidRPr="00122D68">
              <w:rPr>
                <w:rFonts w:cstheme="minorHAnsi"/>
                <w:sz w:val="20"/>
                <w:szCs w:val="20"/>
              </w:rPr>
              <w:t>1</w:t>
            </w:r>
          </w:p>
        </w:tc>
        <w:tc>
          <w:tcPr>
            <w:tcW w:w="2266" w:type="dxa"/>
          </w:tcPr>
          <w:p w14:paraId="5BF4B009" w14:textId="38FCB748" w:rsidR="006146A8" w:rsidRPr="00122D68" w:rsidRDefault="006146A8" w:rsidP="0032603A">
            <w:pPr>
              <w:rPr>
                <w:rFonts w:cstheme="minorHAnsi"/>
                <w:sz w:val="20"/>
                <w:szCs w:val="20"/>
              </w:rPr>
            </w:pPr>
            <w:r w:rsidRPr="00122D68">
              <w:rPr>
                <w:rFonts w:cstheme="minorHAnsi"/>
                <w:sz w:val="20"/>
                <w:szCs w:val="20"/>
              </w:rPr>
              <w:t>Gas (consumption)</w:t>
            </w:r>
          </w:p>
        </w:tc>
        <w:tc>
          <w:tcPr>
            <w:tcW w:w="3119" w:type="dxa"/>
          </w:tcPr>
          <w:p w14:paraId="4BD4B17A" w14:textId="07F259FE" w:rsidR="006146A8" w:rsidRPr="00122D68" w:rsidRDefault="006146A8" w:rsidP="00430C0D">
            <w:pPr>
              <w:jc w:val="both"/>
              <w:rPr>
                <w:rFonts w:cstheme="minorHAnsi"/>
                <w:sz w:val="20"/>
                <w:szCs w:val="20"/>
              </w:rPr>
            </w:pPr>
            <w:r w:rsidRPr="00122D68">
              <w:rPr>
                <w:rFonts w:cstheme="minorHAnsi"/>
                <w:sz w:val="20"/>
                <w:szCs w:val="20"/>
              </w:rPr>
              <w:t>Utility invoices supported by monthly meter reads</w:t>
            </w:r>
          </w:p>
        </w:tc>
        <w:tc>
          <w:tcPr>
            <w:tcW w:w="3377" w:type="dxa"/>
          </w:tcPr>
          <w:p w14:paraId="4AE4D966" w14:textId="1777B92E" w:rsidR="006146A8" w:rsidRPr="00122D68" w:rsidRDefault="006146A8" w:rsidP="00430C0D">
            <w:pPr>
              <w:jc w:val="both"/>
              <w:rPr>
                <w:rFonts w:cstheme="minorHAnsi"/>
                <w:sz w:val="20"/>
                <w:szCs w:val="20"/>
              </w:rPr>
            </w:pPr>
          </w:p>
        </w:tc>
        <w:tc>
          <w:tcPr>
            <w:tcW w:w="1051" w:type="dxa"/>
          </w:tcPr>
          <w:p w14:paraId="37C49BA9" w14:textId="2422B17C" w:rsidR="006146A8" w:rsidRPr="00122D68" w:rsidRDefault="006146A8" w:rsidP="00430C0D">
            <w:pPr>
              <w:jc w:val="center"/>
              <w:rPr>
                <w:rFonts w:cstheme="minorHAnsi"/>
                <w:sz w:val="20"/>
                <w:szCs w:val="20"/>
              </w:rPr>
            </w:pPr>
            <w:r w:rsidRPr="00122D68">
              <w:rPr>
                <w:rFonts w:cstheme="minorHAnsi"/>
                <w:sz w:val="20"/>
                <w:szCs w:val="20"/>
              </w:rPr>
              <w:t>Accurate</w:t>
            </w:r>
          </w:p>
        </w:tc>
      </w:tr>
      <w:tr w:rsidR="006146A8" w14:paraId="00876635" w14:textId="0C94727F" w:rsidTr="00E04536">
        <w:tc>
          <w:tcPr>
            <w:tcW w:w="711" w:type="dxa"/>
          </w:tcPr>
          <w:p w14:paraId="2E104708" w14:textId="78348B0E" w:rsidR="006146A8" w:rsidRPr="00122D68" w:rsidRDefault="006146A8" w:rsidP="00430C0D">
            <w:pPr>
              <w:pStyle w:val="ListParagraph"/>
              <w:ind w:left="0"/>
              <w:jc w:val="center"/>
              <w:rPr>
                <w:rFonts w:cstheme="minorHAnsi"/>
                <w:sz w:val="20"/>
                <w:szCs w:val="20"/>
              </w:rPr>
            </w:pPr>
            <w:r w:rsidRPr="00122D68">
              <w:rPr>
                <w:rFonts w:cstheme="minorHAnsi"/>
                <w:sz w:val="20"/>
                <w:szCs w:val="20"/>
              </w:rPr>
              <w:t>1</w:t>
            </w:r>
          </w:p>
        </w:tc>
        <w:tc>
          <w:tcPr>
            <w:tcW w:w="2266" w:type="dxa"/>
          </w:tcPr>
          <w:p w14:paraId="4181BE92" w14:textId="64C48DEB" w:rsidR="006146A8" w:rsidRPr="00122D68" w:rsidRDefault="006146A8" w:rsidP="0032603A">
            <w:pPr>
              <w:rPr>
                <w:rFonts w:cstheme="minorHAnsi"/>
                <w:sz w:val="20"/>
                <w:szCs w:val="20"/>
              </w:rPr>
            </w:pPr>
            <w:r w:rsidRPr="00122D68">
              <w:rPr>
                <w:rFonts w:cstheme="minorHAnsi"/>
                <w:sz w:val="20"/>
                <w:szCs w:val="20"/>
              </w:rPr>
              <w:t>Fuel used within University owned vehicles</w:t>
            </w:r>
          </w:p>
        </w:tc>
        <w:tc>
          <w:tcPr>
            <w:tcW w:w="3119" w:type="dxa"/>
          </w:tcPr>
          <w:p w14:paraId="3742053A" w14:textId="27031205" w:rsidR="006146A8" w:rsidRPr="00122D68" w:rsidRDefault="006146A8" w:rsidP="00430C0D">
            <w:pPr>
              <w:jc w:val="both"/>
              <w:rPr>
                <w:rFonts w:cstheme="minorHAnsi"/>
                <w:sz w:val="20"/>
                <w:szCs w:val="20"/>
              </w:rPr>
            </w:pPr>
            <w:r w:rsidRPr="00122D68">
              <w:rPr>
                <w:rFonts w:cstheme="minorHAnsi"/>
                <w:sz w:val="20"/>
                <w:szCs w:val="20"/>
              </w:rPr>
              <w:t>Fuel card (petrol and diesel)</w:t>
            </w:r>
          </w:p>
        </w:tc>
        <w:tc>
          <w:tcPr>
            <w:tcW w:w="3377" w:type="dxa"/>
          </w:tcPr>
          <w:p w14:paraId="2978B784" w14:textId="436964C7" w:rsidR="006146A8" w:rsidRPr="00122D68" w:rsidRDefault="006146A8" w:rsidP="00430C0D">
            <w:pPr>
              <w:jc w:val="both"/>
              <w:rPr>
                <w:rFonts w:cstheme="minorHAnsi"/>
                <w:sz w:val="20"/>
                <w:szCs w:val="20"/>
              </w:rPr>
            </w:pPr>
          </w:p>
        </w:tc>
        <w:tc>
          <w:tcPr>
            <w:tcW w:w="1051" w:type="dxa"/>
          </w:tcPr>
          <w:p w14:paraId="35F92C48" w14:textId="67D466A3" w:rsidR="006146A8" w:rsidRPr="00122D68" w:rsidRDefault="006146A8" w:rsidP="00430C0D">
            <w:pPr>
              <w:jc w:val="center"/>
              <w:rPr>
                <w:rFonts w:cstheme="minorHAnsi"/>
                <w:sz w:val="20"/>
                <w:szCs w:val="20"/>
              </w:rPr>
            </w:pPr>
            <w:r w:rsidRPr="00122D68">
              <w:rPr>
                <w:rFonts w:cstheme="minorHAnsi"/>
                <w:sz w:val="20"/>
                <w:szCs w:val="20"/>
              </w:rPr>
              <w:t>Accurate</w:t>
            </w:r>
          </w:p>
        </w:tc>
      </w:tr>
      <w:tr w:rsidR="006146A8" w14:paraId="4C174FB0" w14:textId="33249E33" w:rsidTr="00E04536">
        <w:tc>
          <w:tcPr>
            <w:tcW w:w="711" w:type="dxa"/>
          </w:tcPr>
          <w:p w14:paraId="7869CFA8" w14:textId="12C78F00" w:rsidR="006146A8" w:rsidRPr="00122D68" w:rsidRDefault="006146A8" w:rsidP="00430C0D">
            <w:pPr>
              <w:pStyle w:val="ListParagraph"/>
              <w:ind w:left="0"/>
              <w:jc w:val="center"/>
              <w:rPr>
                <w:rFonts w:cstheme="minorHAnsi"/>
                <w:sz w:val="20"/>
                <w:szCs w:val="20"/>
              </w:rPr>
            </w:pPr>
            <w:r w:rsidRPr="00122D68">
              <w:rPr>
                <w:rFonts w:cstheme="minorHAnsi"/>
                <w:sz w:val="20"/>
                <w:szCs w:val="20"/>
              </w:rPr>
              <w:t>1</w:t>
            </w:r>
          </w:p>
        </w:tc>
        <w:tc>
          <w:tcPr>
            <w:tcW w:w="2266" w:type="dxa"/>
          </w:tcPr>
          <w:p w14:paraId="0E504E2E" w14:textId="7F68F2B8" w:rsidR="006146A8" w:rsidRPr="00122D68" w:rsidRDefault="006146A8" w:rsidP="0032603A">
            <w:pPr>
              <w:rPr>
                <w:rFonts w:cstheme="minorHAnsi"/>
                <w:sz w:val="20"/>
                <w:szCs w:val="20"/>
              </w:rPr>
            </w:pPr>
            <w:r w:rsidRPr="00122D68">
              <w:rPr>
                <w:rFonts w:cstheme="minorHAnsi"/>
                <w:sz w:val="20"/>
                <w:szCs w:val="20"/>
              </w:rPr>
              <w:t>Refrigerants / Fugitive emissions</w:t>
            </w:r>
          </w:p>
        </w:tc>
        <w:tc>
          <w:tcPr>
            <w:tcW w:w="3119" w:type="dxa"/>
          </w:tcPr>
          <w:p w14:paraId="7EE37860" w14:textId="4F12793B" w:rsidR="006146A8" w:rsidRPr="00122D68" w:rsidRDefault="006146A8" w:rsidP="00430C0D">
            <w:pPr>
              <w:jc w:val="both"/>
              <w:rPr>
                <w:rFonts w:cstheme="minorHAnsi"/>
                <w:sz w:val="20"/>
                <w:szCs w:val="20"/>
              </w:rPr>
            </w:pPr>
            <w:r w:rsidRPr="00122D68">
              <w:rPr>
                <w:rFonts w:cstheme="minorHAnsi"/>
                <w:sz w:val="20"/>
                <w:szCs w:val="20"/>
              </w:rPr>
              <w:t>F-gas register</w:t>
            </w:r>
          </w:p>
        </w:tc>
        <w:tc>
          <w:tcPr>
            <w:tcW w:w="3377" w:type="dxa"/>
          </w:tcPr>
          <w:p w14:paraId="39D3EEC9" w14:textId="28322414" w:rsidR="006146A8" w:rsidRPr="00122D68" w:rsidRDefault="006146A8" w:rsidP="00430C0D">
            <w:pPr>
              <w:jc w:val="both"/>
              <w:rPr>
                <w:rFonts w:cstheme="minorHAnsi"/>
                <w:sz w:val="20"/>
                <w:szCs w:val="20"/>
              </w:rPr>
            </w:pPr>
          </w:p>
        </w:tc>
        <w:tc>
          <w:tcPr>
            <w:tcW w:w="1051" w:type="dxa"/>
          </w:tcPr>
          <w:p w14:paraId="1ED5CE6A" w14:textId="15F5876A" w:rsidR="006146A8" w:rsidRPr="00122D68" w:rsidRDefault="006146A8" w:rsidP="00430C0D">
            <w:pPr>
              <w:jc w:val="center"/>
              <w:rPr>
                <w:rFonts w:cstheme="minorHAnsi"/>
                <w:sz w:val="20"/>
                <w:szCs w:val="20"/>
              </w:rPr>
            </w:pPr>
            <w:r w:rsidRPr="00122D68">
              <w:rPr>
                <w:rFonts w:cstheme="minorHAnsi"/>
                <w:sz w:val="20"/>
                <w:szCs w:val="20"/>
              </w:rPr>
              <w:t>Accurate</w:t>
            </w:r>
          </w:p>
        </w:tc>
      </w:tr>
      <w:tr w:rsidR="006146A8" w14:paraId="4FDBD8F4" w14:textId="0B5C81B7" w:rsidTr="00E04536">
        <w:tc>
          <w:tcPr>
            <w:tcW w:w="711" w:type="dxa"/>
          </w:tcPr>
          <w:p w14:paraId="358047D5" w14:textId="03F184D2" w:rsidR="006146A8" w:rsidRPr="00122D68" w:rsidRDefault="006146A8" w:rsidP="00430C0D">
            <w:pPr>
              <w:pStyle w:val="ListParagraph"/>
              <w:ind w:left="0"/>
              <w:jc w:val="center"/>
              <w:rPr>
                <w:rFonts w:cstheme="minorHAnsi"/>
                <w:sz w:val="20"/>
                <w:szCs w:val="20"/>
              </w:rPr>
            </w:pPr>
            <w:r w:rsidRPr="00122D68">
              <w:rPr>
                <w:rFonts w:cstheme="minorHAnsi"/>
                <w:sz w:val="20"/>
                <w:szCs w:val="20"/>
              </w:rPr>
              <w:t>2</w:t>
            </w:r>
          </w:p>
        </w:tc>
        <w:tc>
          <w:tcPr>
            <w:tcW w:w="2266" w:type="dxa"/>
          </w:tcPr>
          <w:p w14:paraId="155097CA" w14:textId="6A46A8DE" w:rsidR="006146A8" w:rsidRPr="00122D68" w:rsidRDefault="006146A8" w:rsidP="0032603A">
            <w:pPr>
              <w:rPr>
                <w:rFonts w:cstheme="minorHAnsi"/>
                <w:sz w:val="20"/>
                <w:szCs w:val="20"/>
              </w:rPr>
            </w:pPr>
            <w:r w:rsidRPr="00122D68">
              <w:rPr>
                <w:rFonts w:cstheme="minorHAnsi"/>
                <w:sz w:val="20"/>
                <w:szCs w:val="20"/>
              </w:rPr>
              <w:t>Electricity (consumption)</w:t>
            </w:r>
          </w:p>
        </w:tc>
        <w:tc>
          <w:tcPr>
            <w:tcW w:w="3119" w:type="dxa"/>
          </w:tcPr>
          <w:p w14:paraId="1BFA4A9F" w14:textId="0BD6A250" w:rsidR="006146A8" w:rsidRPr="00122D68" w:rsidRDefault="006146A8" w:rsidP="00430C0D">
            <w:pPr>
              <w:jc w:val="both"/>
              <w:rPr>
                <w:rFonts w:cstheme="minorHAnsi"/>
                <w:sz w:val="20"/>
                <w:szCs w:val="20"/>
              </w:rPr>
            </w:pPr>
            <w:r w:rsidRPr="00122D68">
              <w:rPr>
                <w:rFonts w:cstheme="minorHAnsi"/>
                <w:sz w:val="20"/>
                <w:szCs w:val="20"/>
              </w:rPr>
              <w:t>Utility invoices supported by monthly meter reads</w:t>
            </w:r>
          </w:p>
        </w:tc>
        <w:tc>
          <w:tcPr>
            <w:tcW w:w="3377" w:type="dxa"/>
          </w:tcPr>
          <w:p w14:paraId="488AF28E" w14:textId="39E17EA3" w:rsidR="006146A8" w:rsidRPr="00122D68" w:rsidRDefault="006146A8" w:rsidP="00430C0D">
            <w:pPr>
              <w:jc w:val="both"/>
              <w:rPr>
                <w:rFonts w:cstheme="minorHAnsi"/>
                <w:sz w:val="20"/>
                <w:szCs w:val="20"/>
              </w:rPr>
            </w:pPr>
          </w:p>
        </w:tc>
        <w:tc>
          <w:tcPr>
            <w:tcW w:w="1051" w:type="dxa"/>
          </w:tcPr>
          <w:p w14:paraId="76E90EB6" w14:textId="2FFFA94A" w:rsidR="006146A8" w:rsidRPr="00122D68" w:rsidRDefault="006146A8" w:rsidP="00430C0D">
            <w:pPr>
              <w:jc w:val="center"/>
              <w:rPr>
                <w:rFonts w:cstheme="minorHAnsi"/>
                <w:sz w:val="20"/>
                <w:szCs w:val="20"/>
              </w:rPr>
            </w:pPr>
            <w:r w:rsidRPr="00122D68">
              <w:rPr>
                <w:rFonts w:cstheme="minorHAnsi"/>
                <w:sz w:val="20"/>
                <w:szCs w:val="20"/>
              </w:rPr>
              <w:t>Accurate</w:t>
            </w:r>
          </w:p>
        </w:tc>
      </w:tr>
      <w:tr w:rsidR="006146A8" w:rsidRPr="00FB3ACC" w14:paraId="3A0D6145" w14:textId="65E65606" w:rsidTr="00E04536">
        <w:tc>
          <w:tcPr>
            <w:tcW w:w="711" w:type="dxa"/>
          </w:tcPr>
          <w:p w14:paraId="2DE072C8" w14:textId="34DEC0CA" w:rsidR="006146A8" w:rsidRPr="00122D68" w:rsidRDefault="006146A8" w:rsidP="00430C0D">
            <w:pPr>
              <w:pStyle w:val="ListParagraph"/>
              <w:ind w:left="0"/>
              <w:jc w:val="center"/>
              <w:rPr>
                <w:rFonts w:cstheme="minorHAnsi"/>
                <w:sz w:val="20"/>
                <w:szCs w:val="20"/>
              </w:rPr>
            </w:pPr>
            <w:r w:rsidRPr="00122D68">
              <w:rPr>
                <w:rFonts w:cstheme="minorHAnsi"/>
                <w:sz w:val="20"/>
                <w:szCs w:val="20"/>
              </w:rPr>
              <w:t>3</w:t>
            </w:r>
          </w:p>
        </w:tc>
        <w:tc>
          <w:tcPr>
            <w:tcW w:w="2266" w:type="dxa"/>
          </w:tcPr>
          <w:p w14:paraId="16A03C33" w14:textId="17DAE66D" w:rsidR="006146A8" w:rsidRPr="00122D68" w:rsidRDefault="006146A8" w:rsidP="0032603A">
            <w:pPr>
              <w:rPr>
                <w:rFonts w:cstheme="minorHAnsi"/>
                <w:sz w:val="20"/>
                <w:szCs w:val="20"/>
              </w:rPr>
            </w:pPr>
            <w:r w:rsidRPr="00122D68">
              <w:rPr>
                <w:rFonts w:cstheme="minorHAnsi"/>
                <w:sz w:val="20"/>
                <w:szCs w:val="20"/>
              </w:rPr>
              <w:t>Electricity transmission &amp; distribution</w:t>
            </w:r>
          </w:p>
        </w:tc>
        <w:tc>
          <w:tcPr>
            <w:tcW w:w="3119" w:type="dxa"/>
          </w:tcPr>
          <w:p w14:paraId="596E5C20" w14:textId="73862FE0" w:rsidR="006146A8" w:rsidRPr="00122D68" w:rsidRDefault="006146A8" w:rsidP="00430C0D">
            <w:pPr>
              <w:jc w:val="both"/>
              <w:rPr>
                <w:rFonts w:cstheme="minorHAnsi"/>
                <w:sz w:val="20"/>
                <w:szCs w:val="20"/>
              </w:rPr>
            </w:pPr>
            <w:r w:rsidRPr="00122D68">
              <w:rPr>
                <w:rFonts w:cstheme="minorHAnsi"/>
                <w:sz w:val="20"/>
                <w:szCs w:val="20"/>
              </w:rPr>
              <w:t>Utility invoices supported by monthly meter reads</w:t>
            </w:r>
          </w:p>
        </w:tc>
        <w:tc>
          <w:tcPr>
            <w:tcW w:w="3377" w:type="dxa"/>
          </w:tcPr>
          <w:p w14:paraId="1C322654" w14:textId="6CB754F5" w:rsidR="006146A8" w:rsidRPr="00122D68" w:rsidRDefault="006146A8" w:rsidP="00430C0D">
            <w:pPr>
              <w:jc w:val="both"/>
              <w:rPr>
                <w:rFonts w:cstheme="minorHAnsi"/>
                <w:sz w:val="20"/>
                <w:szCs w:val="20"/>
              </w:rPr>
            </w:pPr>
          </w:p>
        </w:tc>
        <w:tc>
          <w:tcPr>
            <w:tcW w:w="1051" w:type="dxa"/>
          </w:tcPr>
          <w:p w14:paraId="507F1266" w14:textId="6F497EFB" w:rsidR="006146A8" w:rsidRPr="00122D68" w:rsidRDefault="006146A8" w:rsidP="00285DAB">
            <w:pPr>
              <w:jc w:val="center"/>
              <w:rPr>
                <w:rFonts w:cstheme="minorHAnsi"/>
                <w:sz w:val="20"/>
                <w:szCs w:val="20"/>
              </w:rPr>
            </w:pPr>
            <w:r w:rsidRPr="00122D68">
              <w:rPr>
                <w:rFonts w:cstheme="minorHAnsi"/>
                <w:sz w:val="20"/>
                <w:szCs w:val="20"/>
              </w:rPr>
              <w:t>Accurate</w:t>
            </w:r>
          </w:p>
        </w:tc>
      </w:tr>
      <w:tr w:rsidR="006146A8" w:rsidRPr="00FB3ACC" w14:paraId="638F611A" w14:textId="35F1B450" w:rsidTr="00E04536">
        <w:tc>
          <w:tcPr>
            <w:tcW w:w="711" w:type="dxa"/>
          </w:tcPr>
          <w:p w14:paraId="2E596DE8" w14:textId="6096C3A6" w:rsidR="006146A8" w:rsidRPr="00122D68" w:rsidRDefault="006146A8" w:rsidP="00430C0D">
            <w:pPr>
              <w:pStyle w:val="ListParagraph"/>
              <w:ind w:left="0"/>
              <w:jc w:val="center"/>
              <w:rPr>
                <w:rFonts w:cstheme="minorHAnsi"/>
                <w:sz w:val="20"/>
                <w:szCs w:val="20"/>
              </w:rPr>
            </w:pPr>
            <w:r w:rsidRPr="00122D68">
              <w:rPr>
                <w:rFonts w:cstheme="minorHAnsi"/>
                <w:sz w:val="20"/>
                <w:szCs w:val="20"/>
              </w:rPr>
              <w:t>3</w:t>
            </w:r>
          </w:p>
        </w:tc>
        <w:tc>
          <w:tcPr>
            <w:tcW w:w="2266" w:type="dxa"/>
          </w:tcPr>
          <w:p w14:paraId="37DA2EF4" w14:textId="1D11DC9F" w:rsidR="006146A8" w:rsidRPr="00122D68" w:rsidRDefault="006146A8" w:rsidP="0032603A">
            <w:pPr>
              <w:rPr>
                <w:rFonts w:cstheme="minorHAnsi"/>
                <w:sz w:val="20"/>
                <w:szCs w:val="20"/>
              </w:rPr>
            </w:pPr>
            <w:r w:rsidRPr="00122D68">
              <w:rPr>
                <w:rFonts w:cstheme="minorHAnsi"/>
                <w:sz w:val="20"/>
                <w:szCs w:val="20"/>
              </w:rPr>
              <w:t xml:space="preserve">Electricity Well </w:t>
            </w:r>
            <w:proofErr w:type="gramStart"/>
            <w:r w:rsidRPr="00122D68">
              <w:rPr>
                <w:rFonts w:cstheme="minorHAnsi"/>
                <w:sz w:val="20"/>
                <w:szCs w:val="20"/>
              </w:rPr>
              <w:t>To</w:t>
            </w:r>
            <w:proofErr w:type="gramEnd"/>
            <w:r w:rsidRPr="00122D68">
              <w:rPr>
                <w:rFonts w:cstheme="minorHAnsi"/>
                <w:sz w:val="20"/>
                <w:szCs w:val="20"/>
              </w:rPr>
              <w:t xml:space="preserve"> Tank (consumption)</w:t>
            </w:r>
          </w:p>
        </w:tc>
        <w:tc>
          <w:tcPr>
            <w:tcW w:w="3119" w:type="dxa"/>
          </w:tcPr>
          <w:p w14:paraId="64F3CFC3" w14:textId="745A3153" w:rsidR="006146A8" w:rsidRPr="00122D68" w:rsidRDefault="006146A8" w:rsidP="00430C0D">
            <w:pPr>
              <w:jc w:val="both"/>
              <w:rPr>
                <w:rFonts w:cstheme="minorHAnsi"/>
                <w:sz w:val="20"/>
                <w:szCs w:val="20"/>
              </w:rPr>
            </w:pPr>
            <w:r w:rsidRPr="00122D68">
              <w:rPr>
                <w:rFonts w:cstheme="minorHAnsi"/>
                <w:sz w:val="20"/>
                <w:szCs w:val="20"/>
              </w:rPr>
              <w:t>Utility invoices supported by monthly meter reads</w:t>
            </w:r>
          </w:p>
        </w:tc>
        <w:tc>
          <w:tcPr>
            <w:tcW w:w="3377" w:type="dxa"/>
          </w:tcPr>
          <w:p w14:paraId="48482008" w14:textId="3A18C1E8" w:rsidR="006146A8" w:rsidRPr="00122D68" w:rsidRDefault="006146A8" w:rsidP="00430C0D">
            <w:pPr>
              <w:jc w:val="both"/>
              <w:rPr>
                <w:rFonts w:cstheme="minorHAnsi"/>
                <w:sz w:val="20"/>
                <w:szCs w:val="20"/>
              </w:rPr>
            </w:pPr>
          </w:p>
        </w:tc>
        <w:tc>
          <w:tcPr>
            <w:tcW w:w="1051" w:type="dxa"/>
          </w:tcPr>
          <w:p w14:paraId="149F3210" w14:textId="71994317" w:rsidR="006146A8" w:rsidRPr="00122D68" w:rsidRDefault="006146A8" w:rsidP="00285DAB">
            <w:pPr>
              <w:jc w:val="center"/>
              <w:rPr>
                <w:rFonts w:cstheme="minorHAnsi"/>
                <w:sz w:val="20"/>
                <w:szCs w:val="20"/>
              </w:rPr>
            </w:pPr>
            <w:r w:rsidRPr="00122D68">
              <w:rPr>
                <w:rFonts w:cstheme="minorHAnsi"/>
                <w:sz w:val="20"/>
                <w:szCs w:val="20"/>
              </w:rPr>
              <w:t>Accurate</w:t>
            </w:r>
          </w:p>
        </w:tc>
      </w:tr>
      <w:tr w:rsidR="006146A8" w:rsidRPr="00FB3ACC" w14:paraId="6406246A" w14:textId="77777777" w:rsidTr="00E04536">
        <w:tc>
          <w:tcPr>
            <w:tcW w:w="711" w:type="dxa"/>
          </w:tcPr>
          <w:p w14:paraId="67653292" w14:textId="77777777" w:rsidR="006146A8" w:rsidRPr="00122D68" w:rsidRDefault="006146A8" w:rsidP="00FD6DDD">
            <w:pPr>
              <w:pStyle w:val="ListParagraph"/>
              <w:ind w:left="0"/>
              <w:jc w:val="center"/>
              <w:rPr>
                <w:rFonts w:cstheme="minorHAnsi"/>
                <w:sz w:val="20"/>
                <w:szCs w:val="20"/>
              </w:rPr>
            </w:pPr>
          </w:p>
        </w:tc>
        <w:tc>
          <w:tcPr>
            <w:tcW w:w="2266" w:type="dxa"/>
          </w:tcPr>
          <w:p w14:paraId="3051FD3B" w14:textId="63AEADAE" w:rsidR="006146A8" w:rsidRPr="00122D68" w:rsidRDefault="006146A8" w:rsidP="0032603A">
            <w:pPr>
              <w:rPr>
                <w:rFonts w:cstheme="minorHAnsi"/>
                <w:sz w:val="20"/>
                <w:szCs w:val="20"/>
              </w:rPr>
            </w:pPr>
            <w:r w:rsidRPr="00122D68">
              <w:rPr>
                <w:rFonts w:cstheme="minorHAnsi"/>
                <w:sz w:val="20"/>
                <w:szCs w:val="20"/>
              </w:rPr>
              <w:t xml:space="preserve">Electricity Well </w:t>
            </w:r>
            <w:proofErr w:type="gramStart"/>
            <w:r w:rsidRPr="00122D68">
              <w:rPr>
                <w:rFonts w:cstheme="minorHAnsi"/>
                <w:sz w:val="20"/>
                <w:szCs w:val="20"/>
              </w:rPr>
              <w:t>To</w:t>
            </w:r>
            <w:proofErr w:type="gramEnd"/>
            <w:r w:rsidRPr="00122D68">
              <w:rPr>
                <w:rFonts w:cstheme="minorHAnsi"/>
                <w:sz w:val="20"/>
                <w:szCs w:val="20"/>
              </w:rPr>
              <w:t xml:space="preserve"> Tank (T&amp;D)</w:t>
            </w:r>
          </w:p>
        </w:tc>
        <w:tc>
          <w:tcPr>
            <w:tcW w:w="3119" w:type="dxa"/>
          </w:tcPr>
          <w:p w14:paraId="645ECCFF" w14:textId="197BA99C" w:rsidR="006146A8" w:rsidRPr="00122D68" w:rsidRDefault="006146A8" w:rsidP="00FD6DDD">
            <w:pPr>
              <w:jc w:val="both"/>
              <w:rPr>
                <w:rFonts w:cstheme="minorHAnsi"/>
                <w:sz w:val="20"/>
                <w:szCs w:val="20"/>
              </w:rPr>
            </w:pPr>
            <w:r w:rsidRPr="00122D68">
              <w:rPr>
                <w:rFonts w:cstheme="minorHAnsi"/>
                <w:sz w:val="20"/>
                <w:szCs w:val="20"/>
              </w:rPr>
              <w:t>Utility invoices supported by monthly meter reads</w:t>
            </w:r>
          </w:p>
        </w:tc>
        <w:tc>
          <w:tcPr>
            <w:tcW w:w="3377" w:type="dxa"/>
          </w:tcPr>
          <w:p w14:paraId="23EB4DE5" w14:textId="77777777" w:rsidR="006146A8" w:rsidRPr="00122D68" w:rsidRDefault="006146A8" w:rsidP="00FD6DDD">
            <w:pPr>
              <w:jc w:val="both"/>
              <w:rPr>
                <w:rFonts w:cstheme="minorHAnsi"/>
                <w:sz w:val="20"/>
                <w:szCs w:val="20"/>
              </w:rPr>
            </w:pPr>
          </w:p>
        </w:tc>
        <w:tc>
          <w:tcPr>
            <w:tcW w:w="1051" w:type="dxa"/>
          </w:tcPr>
          <w:p w14:paraId="590305E6" w14:textId="38268A4F" w:rsidR="006146A8" w:rsidRPr="00122D68" w:rsidRDefault="006146A8" w:rsidP="00285DAB">
            <w:pPr>
              <w:jc w:val="center"/>
              <w:rPr>
                <w:rFonts w:cstheme="minorHAnsi"/>
                <w:sz w:val="20"/>
                <w:szCs w:val="20"/>
              </w:rPr>
            </w:pPr>
            <w:r w:rsidRPr="00122D68">
              <w:rPr>
                <w:rFonts w:cstheme="minorHAnsi"/>
                <w:sz w:val="20"/>
                <w:szCs w:val="20"/>
              </w:rPr>
              <w:t>Accurate</w:t>
            </w:r>
          </w:p>
        </w:tc>
      </w:tr>
      <w:tr w:rsidR="006146A8" w:rsidRPr="00FB3ACC" w14:paraId="3802BEF5" w14:textId="3A5050DA" w:rsidTr="00E04536">
        <w:tc>
          <w:tcPr>
            <w:tcW w:w="711" w:type="dxa"/>
          </w:tcPr>
          <w:p w14:paraId="0E8D14CA" w14:textId="12DC8EF9" w:rsidR="006146A8" w:rsidRPr="00122D68" w:rsidRDefault="006146A8" w:rsidP="00FD6DDD">
            <w:pPr>
              <w:pStyle w:val="ListParagraph"/>
              <w:ind w:left="0"/>
              <w:jc w:val="center"/>
              <w:rPr>
                <w:rFonts w:cstheme="minorHAnsi"/>
                <w:sz w:val="20"/>
                <w:szCs w:val="20"/>
              </w:rPr>
            </w:pPr>
            <w:r w:rsidRPr="00122D68">
              <w:rPr>
                <w:rFonts w:cstheme="minorHAnsi"/>
                <w:sz w:val="20"/>
                <w:szCs w:val="20"/>
              </w:rPr>
              <w:t>3</w:t>
            </w:r>
          </w:p>
        </w:tc>
        <w:tc>
          <w:tcPr>
            <w:tcW w:w="2266" w:type="dxa"/>
          </w:tcPr>
          <w:p w14:paraId="556343E7" w14:textId="7DF0BE84" w:rsidR="006146A8" w:rsidRPr="00122D68" w:rsidRDefault="006146A8" w:rsidP="0032603A">
            <w:pPr>
              <w:rPr>
                <w:rFonts w:cstheme="minorHAnsi"/>
                <w:sz w:val="20"/>
                <w:szCs w:val="20"/>
              </w:rPr>
            </w:pPr>
            <w:r w:rsidRPr="00122D68">
              <w:rPr>
                <w:rFonts w:cstheme="minorHAnsi"/>
                <w:sz w:val="20"/>
                <w:szCs w:val="20"/>
              </w:rPr>
              <w:t xml:space="preserve">Gas Well </w:t>
            </w:r>
            <w:proofErr w:type="gramStart"/>
            <w:r w:rsidRPr="00122D68">
              <w:rPr>
                <w:rFonts w:cstheme="minorHAnsi"/>
                <w:sz w:val="20"/>
                <w:szCs w:val="20"/>
              </w:rPr>
              <w:t>To</w:t>
            </w:r>
            <w:proofErr w:type="gramEnd"/>
            <w:r w:rsidRPr="00122D68">
              <w:rPr>
                <w:rFonts w:cstheme="minorHAnsi"/>
                <w:sz w:val="20"/>
                <w:szCs w:val="20"/>
              </w:rPr>
              <w:t xml:space="preserve"> Tank</w:t>
            </w:r>
          </w:p>
        </w:tc>
        <w:tc>
          <w:tcPr>
            <w:tcW w:w="3119" w:type="dxa"/>
          </w:tcPr>
          <w:p w14:paraId="6F8C5127" w14:textId="132907C7" w:rsidR="006146A8" w:rsidRPr="00122D68" w:rsidRDefault="006146A8" w:rsidP="00FD6DDD">
            <w:pPr>
              <w:jc w:val="both"/>
              <w:rPr>
                <w:rFonts w:cstheme="minorHAnsi"/>
                <w:sz w:val="20"/>
                <w:szCs w:val="20"/>
              </w:rPr>
            </w:pPr>
            <w:r w:rsidRPr="00122D68">
              <w:rPr>
                <w:rFonts w:cstheme="minorHAnsi"/>
                <w:sz w:val="20"/>
                <w:szCs w:val="20"/>
              </w:rPr>
              <w:t>Utility invoices supported by monthly meter reads</w:t>
            </w:r>
          </w:p>
        </w:tc>
        <w:tc>
          <w:tcPr>
            <w:tcW w:w="3377" w:type="dxa"/>
          </w:tcPr>
          <w:p w14:paraId="5C30C970" w14:textId="5B3FDEC2" w:rsidR="006146A8" w:rsidRPr="00122D68" w:rsidRDefault="006146A8" w:rsidP="00FD6DDD">
            <w:pPr>
              <w:jc w:val="both"/>
              <w:rPr>
                <w:rFonts w:cstheme="minorHAnsi"/>
                <w:sz w:val="20"/>
                <w:szCs w:val="20"/>
              </w:rPr>
            </w:pPr>
          </w:p>
        </w:tc>
        <w:tc>
          <w:tcPr>
            <w:tcW w:w="1051" w:type="dxa"/>
          </w:tcPr>
          <w:p w14:paraId="363A8826" w14:textId="1FAFB661" w:rsidR="006146A8" w:rsidRPr="00122D68" w:rsidRDefault="006146A8" w:rsidP="00285DAB">
            <w:pPr>
              <w:jc w:val="center"/>
              <w:rPr>
                <w:rFonts w:cstheme="minorHAnsi"/>
                <w:sz w:val="20"/>
                <w:szCs w:val="20"/>
              </w:rPr>
            </w:pPr>
            <w:r w:rsidRPr="00122D68">
              <w:rPr>
                <w:rFonts w:cstheme="minorHAnsi"/>
                <w:sz w:val="20"/>
                <w:szCs w:val="20"/>
              </w:rPr>
              <w:t>Accurate</w:t>
            </w:r>
          </w:p>
        </w:tc>
      </w:tr>
      <w:tr w:rsidR="006146A8" w:rsidRPr="00FB3ACC" w14:paraId="1B660BC8" w14:textId="7E85E22F" w:rsidTr="00E04536">
        <w:tc>
          <w:tcPr>
            <w:tcW w:w="711" w:type="dxa"/>
          </w:tcPr>
          <w:p w14:paraId="5C6496FE" w14:textId="3265ADDD" w:rsidR="006146A8" w:rsidRPr="00122D68" w:rsidRDefault="006146A8" w:rsidP="00FD6DDD">
            <w:pPr>
              <w:pStyle w:val="ListParagraph"/>
              <w:ind w:left="0"/>
              <w:jc w:val="center"/>
              <w:rPr>
                <w:rFonts w:cstheme="minorHAnsi"/>
                <w:sz w:val="20"/>
                <w:szCs w:val="20"/>
              </w:rPr>
            </w:pPr>
            <w:r w:rsidRPr="00122D68">
              <w:rPr>
                <w:rFonts w:cstheme="minorHAnsi"/>
                <w:sz w:val="20"/>
                <w:szCs w:val="20"/>
              </w:rPr>
              <w:t>3</w:t>
            </w:r>
          </w:p>
        </w:tc>
        <w:tc>
          <w:tcPr>
            <w:tcW w:w="2266" w:type="dxa"/>
          </w:tcPr>
          <w:p w14:paraId="1A016DE2" w14:textId="0DC5F265" w:rsidR="006146A8" w:rsidRPr="00122D68" w:rsidRDefault="006146A8" w:rsidP="0032603A">
            <w:pPr>
              <w:rPr>
                <w:rFonts w:cstheme="minorHAnsi"/>
                <w:sz w:val="20"/>
                <w:szCs w:val="20"/>
              </w:rPr>
            </w:pPr>
            <w:r w:rsidRPr="00122D68">
              <w:rPr>
                <w:rFonts w:cstheme="minorHAnsi"/>
                <w:sz w:val="20"/>
                <w:szCs w:val="20"/>
              </w:rPr>
              <w:t xml:space="preserve">Fuel Well </w:t>
            </w:r>
            <w:proofErr w:type="gramStart"/>
            <w:r w:rsidRPr="00122D68">
              <w:rPr>
                <w:rFonts w:cstheme="minorHAnsi"/>
                <w:sz w:val="20"/>
                <w:szCs w:val="20"/>
              </w:rPr>
              <w:t>To</w:t>
            </w:r>
            <w:proofErr w:type="gramEnd"/>
            <w:r w:rsidRPr="00122D68">
              <w:rPr>
                <w:rFonts w:cstheme="minorHAnsi"/>
                <w:sz w:val="20"/>
                <w:szCs w:val="20"/>
              </w:rPr>
              <w:t xml:space="preserve"> Tank</w:t>
            </w:r>
          </w:p>
        </w:tc>
        <w:tc>
          <w:tcPr>
            <w:tcW w:w="3119" w:type="dxa"/>
          </w:tcPr>
          <w:p w14:paraId="56054166" w14:textId="6EB47387" w:rsidR="006146A8" w:rsidRPr="00122D68" w:rsidRDefault="006146A8" w:rsidP="00FD6DDD">
            <w:pPr>
              <w:jc w:val="both"/>
              <w:rPr>
                <w:rFonts w:cstheme="minorHAnsi"/>
                <w:sz w:val="20"/>
                <w:szCs w:val="20"/>
              </w:rPr>
            </w:pPr>
            <w:r w:rsidRPr="00122D68">
              <w:rPr>
                <w:rFonts w:cstheme="minorHAnsi"/>
                <w:sz w:val="20"/>
                <w:szCs w:val="20"/>
              </w:rPr>
              <w:t xml:space="preserve">Fuel card (petrol </w:t>
            </w:r>
            <w:r w:rsidR="006C2684">
              <w:rPr>
                <w:rFonts w:cstheme="minorHAnsi"/>
                <w:sz w:val="20"/>
                <w:szCs w:val="20"/>
              </w:rPr>
              <w:t>&amp;</w:t>
            </w:r>
            <w:r w:rsidRPr="00122D68">
              <w:rPr>
                <w:rFonts w:cstheme="minorHAnsi"/>
                <w:sz w:val="20"/>
                <w:szCs w:val="20"/>
              </w:rPr>
              <w:t xml:space="preserve"> diesel)</w:t>
            </w:r>
          </w:p>
        </w:tc>
        <w:tc>
          <w:tcPr>
            <w:tcW w:w="3377" w:type="dxa"/>
          </w:tcPr>
          <w:p w14:paraId="43E14840" w14:textId="29D11490" w:rsidR="006146A8" w:rsidRPr="00122D68" w:rsidRDefault="006146A8" w:rsidP="00FD6DDD">
            <w:pPr>
              <w:jc w:val="both"/>
              <w:rPr>
                <w:rFonts w:cstheme="minorHAnsi"/>
                <w:sz w:val="20"/>
                <w:szCs w:val="20"/>
              </w:rPr>
            </w:pPr>
          </w:p>
        </w:tc>
        <w:tc>
          <w:tcPr>
            <w:tcW w:w="1051" w:type="dxa"/>
          </w:tcPr>
          <w:p w14:paraId="714310BE" w14:textId="32F465CE" w:rsidR="006146A8" w:rsidRPr="00122D68" w:rsidRDefault="006146A8" w:rsidP="00FD6DDD">
            <w:pPr>
              <w:jc w:val="center"/>
              <w:rPr>
                <w:rFonts w:cstheme="minorHAnsi"/>
                <w:sz w:val="20"/>
                <w:szCs w:val="20"/>
              </w:rPr>
            </w:pPr>
            <w:r w:rsidRPr="00122D68">
              <w:rPr>
                <w:rFonts w:cstheme="minorHAnsi"/>
                <w:sz w:val="20"/>
                <w:szCs w:val="20"/>
              </w:rPr>
              <w:t>Accurate</w:t>
            </w:r>
          </w:p>
        </w:tc>
      </w:tr>
      <w:tr w:rsidR="006146A8" w:rsidRPr="00FB3ACC" w14:paraId="72E5200A" w14:textId="34E649FA" w:rsidTr="00E04536">
        <w:tc>
          <w:tcPr>
            <w:tcW w:w="711" w:type="dxa"/>
          </w:tcPr>
          <w:p w14:paraId="18A47130" w14:textId="14A33030" w:rsidR="006146A8" w:rsidRPr="00122D68" w:rsidRDefault="006146A8" w:rsidP="00FD6DDD">
            <w:pPr>
              <w:pStyle w:val="ListParagraph"/>
              <w:ind w:left="0"/>
              <w:jc w:val="center"/>
              <w:rPr>
                <w:rFonts w:cstheme="minorHAnsi"/>
                <w:sz w:val="20"/>
                <w:szCs w:val="20"/>
              </w:rPr>
            </w:pPr>
            <w:r w:rsidRPr="00122D68">
              <w:rPr>
                <w:rFonts w:cstheme="minorHAnsi"/>
                <w:sz w:val="20"/>
                <w:szCs w:val="20"/>
              </w:rPr>
              <w:t>3</w:t>
            </w:r>
          </w:p>
        </w:tc>
        <w:tc>
          <w:tcPr>
            <w:tcW w:w="2266" w:type="dxa"/>
          </w:tcPr>
          <w:p w14:paraId="77970E3C" w14:textId="467CDC5B" w:rsidR="006146A8" w:rsidRPr="00122D68" w:rsidRDefault="006146A8" w:rsidP="0032603A">
            <w:pPr>
              <w:rPr>
                <w:rFonts w:cstheme="minorHAnsi"/>
                <w:sz w:val="20"/>
                <w:szCs w:val="20"/>
              </w:rPr>
            </w:pPr>
            <w:r w:rsidRPr="00122D68">
              <w:rPr>
                <w:rFonts w:cstheme="minorHAnsi"/>
                <w:sz w:val="20"/>
                <w:szCs w:val="20"/>
              </w:rPr>
              <w:t>Waste disposal and recycling</w:t>
            </w:r>
          </w:p>
        </w:tc>
        <w:tc>
          <w:tcPr>
            <w:tcW w:w="3119" w:type="dxa"/>
          </w:tcPr>
          <w:p w14:paraId="0E9E62B1" w14:textId="7AAB7443" w:rsidR="006146A8" w:rsidRPr="00122D68" w:rsidRDefault="006146A8" w:rsidP="00FD6DDD">
            <w:pPr>
              <w:jc w:val="both"/>
              <w:rPr>
                <w:rFonts w:cstheme="minorHAnsi"/>
                <w:sz w:val="20"/>
                <w:szCs w:val="20"/>
              </w:rPr>
            </w:pPr>
            <w:r w:rsidRPr="00122D68">
              <w:rPr>
                <w:rFonts w:cstheme="minorHAnsi"/>
                <w:sz w:val="20"/>
                <w:szCs w:val="20"/>
              </w:rPr>
              <w:t>Contractor reports</w:t>
            </w:r>
          </w:p>
        </w:tc>
        <w:tc>
          <w:tcPr>
            <w:tcW w:w="3377" w:type="dxa"/>
          </w:tcPr>
          <w:p w14:paraId="790A0A4B" w14:textId="4BCC6D32" w:rsidR="006146A8" w:rsidRPr="00122D68" w:rsidRDefault="000D417C" w:rsidP="00FD6DDD">
            <w:pPr>
              <w:jc w:val="both"/>
              <w:rPr>
                <w:rFonts w:cstheme="minorHAnsi"/>
                <w:sz w:val="20"/>
                <w:szCs w:val="20"/>
              </w:rPr>
            </w:pPr>
            <w:r>
              <w:rPr>
                <w:rFonts w:cstheme="minorHAnsi"/>
                <w:sz w:val="20"/>
                <w:szCs w:val="20"/>
              </w:rPr>
              <w:t xml:space="preserve">Variable depending whether weight data is accurate (2010-2011 </w:t>
            </w:r>
            <w:r w:rsidR="006C2684">
              <w:rPr>
                <w:rFonts w:cstheme="minorHAnsi"/>
                <w:sz w:val="20"/>
                <w:szCs w:val="20"/>
              </w:rPr>
              <w:t>&amp;</w:t>
            </w:r>
            <w:r>
              <w:rPr>
                <w:rFonts w:cstheme="minorHAnsi"/>
                <w:sz w:val="20"/>
                <w:szCs w:val="20"/>
              </w:rPr>
              <w:t xml:space="preserve"> 2012-2013) or estimated.  E</w:t>
            </w:r>
            <w:r w:rsidR="006146A8" w:rsidRPr="00122D68">
              <w:rPr>
                <w:rFonts w:cstheme="minorHAnsi"/>
                <w:sz w:val="20"/>
                <w:szCs w:val="20"/>
              </w:rPr>
              <w:t>stimate breakdown of DMR</w:t>
            </w:r>
          </w:p>
        </w:tc>
        <w:tc>
          <w:tcPr>
            <w:tcW w:w="1051" w:type="dxa"/>
          </w:tcPr>
          <w:p w14:paraId="01B0C687" w14:textId="2EB4C742" w:rsidR="006146A8" w:rsidRPr="00122D68" w:rsidRDefault="006146A8" w:rsidP="00FD6DDD">
            <w:pPr>
              <w:jc w:val="center"/>
              <w:rPr>
                <w:rFonts w:cstheme="minorHAnsi"/>
                <w:sz w:val="20"/>
                <w:szCs w:val="20"/>
              </w:rPr>
            </w:pPr>
            <w:r w:rsidRPr="00122D68">
              <w:rPr>
                <w:rFonts w:cstheme="minorHAnsi"/>
                <w:sz w:val="20"/>
                <w:szCs w:val="20"/>
              </w:rPr>
              <w:t>Estimated</w:t>
            </w:r>
          </w:p>
        </w:tc>
      </w:tr>
      <w:tr w:rsidR="006146A8" w:rsidRPr="00FB3ACC" w14:paraId="5F2A5455" w14:textId="77777777" w:rsidTr="00E04536">
        <w:tc>
          <w:tcPr>
            <w:tcW w:w="711" w:type="dxa"/>
          </w:tcPr>
          <w:p w14:paraId="1D9B751E" w14:textId="77777777" w:rsidR="006146A8" w:rsidRPr="00122D68" w:rsidRDefault="006146A8" w:rsidP="00FD6DDD">
            <w:pPr>
              <w:pStyle w:val="ListParagraph"/>
              <w:ind w:left="0"/>
              <w:jc w:val="center"/>
              <w:rPr>
                <w:rFonts w:cstheme="minorHAnsi"/>
                <w:sz w:val="20"/>
                <w:szCs w:val="20"/>
              </w:rPr>
            </w:pPr>
          </w:p>
        </w:tc>
        <w:tc>
          <w:tcPr>
            <w:tcW w:w="2266" w:type="dxa"/>
          </w:tcPr>
          <w:p w14:paraId="6FE8CAD3" w14:textId="0FFB160A" w:rsidR="006146A8" w:rsidRPr="00122D68" w:rsidRDefault="006146A8" w:rsidP="0032603A">
            <w:pPr>
              <w:rPr>
                <w:rFonts w:cstheme="minorHAnsi"/>
                <w:sz w:val="20"/>
                <w:szCs w:val="20"/>
              </w:rPr>
            </w:pPr>
            <w:r w:rsidRPr="00122D68">
              <w:rPr>
                <w:rFonts w:cstheme="minorHAnsi"/>
                <w:sz w:val="20"/>
                <w:szCs w:val="20"/>
              </w:rPr>
              <w:t>Waste disposal &amp; recycling (construction)</w:t>
            </w:r>
          </w:p>
        </w:tc>
        <w:tc>
          <w:tcPr>
            <w:tcW w:w="3119" w:type="dxa"/>
          </w:tcPr>
          <w:p w14:paraId="08AEBB1B" w14:textId="6F6D6A6F" w:rsidR="006146A8" w:rsidRPr="00122D68" w:rsidRDefault="006146A8" w:rsidP="00FD6DDD">
            <w:pPr>
              <w:jc w:val="both"/>
              <w:rPr>
                <w:rFonts w:cstheme="minorHAnsi"/>
                <w:sz w:val="20"/>
                <w:szCs w:val="20"/>
              </w:rPr>
            </w:pPr>
            <w:r w:rsidRPr="00122D68">
              <w:rPr>
                <w:rFonts w:cstheme="minorHAnsi"/>
                <w:sz w:val="20"/>
                <w:szCs w:val="20"/>
              </w:rPr>
              <w:t>Contractor reports (including general University skip data)</w:t>
            </w:r>
          </w:p>
        </w:tc>
        <w:tc>
          <w:tcPr>
            <w:tcW w:w="3377" w:type="dxa"/>
          </w:tcPr>
          <w:p w14:paraId="324CABD0" w14:textId="43BAD672" w:rsidR="006146A8" w:rsidRPr="00122D68" w:rsidRDefault="006146A8" w:rsidP="00FD6DDD">
            <w:pPr>
              <w:jc w:val="both"/>
              <w:rPr>
                <w:rFonts w:cstheme="minorHAnsi"/>
                <w:sz w:val="20"/>
                <w:szCs w:val="20"/>
              </w:rPr>
            </w:pPr>
            <w:r w:rsidRPr="00122D68">
              <w:rPr>
                <w:rFonts w:cstheme="minorHAnsi"/>
                <w:sz w:val="20"/>
                <w:szCs w:val="20"/>
              </w:rPr>
              <w:t>From 2015-2016 limited data provided by building contractors</w:t>
            </w:r>
          </w:p>
        </w:tc>
        <w:tc>
          <w:tcPr>
            <w:tcW w:w="1051" w:type="dxa"/>
          </w:tcPr>
          <w:p w14:paraId="2F18A2CD" w14:textId="282A2374" w:rsidR="006146A8" w:rsidRPr="00122D68" w:rsidRDefault="006146A8" w:rsidP="00FD6DDD">
            <w:pPr>
              <w:jc w:val="center"/>
              <w:rPr>
                <w:rFonts w:cstheme="minorHAnsi"/>
                <w:sz w:val="20"/>
                <w:szCs w:val="20"/>
              </w:rPr>
            </w:pPr>
            <w:r w:rsidRPr="00122D68">
              <w:rPr>
                <w:rFonts w:cstheme="minorHAnsi"/>
                <w:sz w:val="20"/>
                <w:szCs w:val="20"/>
              </w:rPr>
              <w:t>Estimated</w:t>
            </w:r>
          </w:p>
        </w:tc>
      </w:tr>
      <w:tr w:rsidR="006146A8" w:rsidRPr="00FB3ACC" w14:paraId="380B1B41" w14:textId="75BCE030" w:rsidTr="00E04536">
        <w:tc>
          <w:tcPr>
            <w:tcW w:w="711" w:type="dxa"/>
          </w:tcPr>
          <w:p w14:paraId="5B0B2228" w14:textId="67CED8C4" w:rsidR="006146A8" w:rsidRPr="00122D68" w:rsidRDefault="006146A8" w:rsidP="00FD6DDD">
            <w:pPr>
              <w:pStyle w:val="ListParagraph"/>
              <w:ind w:left="0"/>
              <w:jc w:val="center"/>
              <w:rPr>
                <w:rFonts w:cstheme="minorHAnsi"/>
                <w:sz w:val="20"/>
                <w:szCs w:val="20"/>
              </w:rPr>
            </w:pPr>
            <w:r w:rsidRPr="00122D68">
              <w:rPr>
                <w:rFonts w:cstheme="minorHAnsi"/>
                <w:sz w:val="20"/>
                <w:szCs w:val="20"/>
              </w:rPr>
              <w:t>3</w:t>
            </w:r>
          </w:p>
        </w:tc>
        <w:tc>
          <w:tcPr>
            <w:tcW w:w="2266" w:type="dxa"/>
          </w:tcPr>
          <w:p w14:paraId="552A428E" w14:textId="1269F0D9" w:rsidR="006146A8" w:rsidRPr="00122D68" w:rsidRDefault="006146A8" w:rsidP="0032603A">
            <w:pPr>
              <w:rPr>
                <w:rFonts w:cstheme="minorHAnsi"/>
                <w:sz w:val="20"/>
                <w:szCs w:val="20"/>
              </w:rPr>
            </w:pPr>
            <w:r w:rsidRPr="00122D68">
              <w:rPr>
                <w:rFonts w:cstheme="minorHAnsi"/>
                <w:sz w:val="20"/>
                <w:szCs w:val="20"/>
              </w:rPr>
              <w:t xml:space="preserve">Water supply </w:t>
            </w:r>
            <w:r w:rsidR="006C2684">
              <w:rPr>
                <w:rFonts w:cstheme="minorHAnsi"/>
                <w:sz w:val="20"/>
                <w:szCs w:val="20"/>
              </w:rPr>
              <w:t>&amp;</w:t>
            </w:r>
            <w:r w:rsidRPr="00122D68">
              <w:rPr>
                <w:rFonts w:cstheme="minorHAnsi"/>
                <w:sz w:val="20"/>
                <w:szCs w:val="20"/>
              </w:rPr>
              <w:t xml:space="preserve"> treatment</w:t>
            </w:r>
          </w:p>
        </w:tc>
        <w:tc>
          <w:tcPr>
            <w:tcW w:w="3119" w:type="dxa"/>
          </w:tcPr>
          <w:p w14:paraId="50421A39" w14:textId="1848DC0A" w:rsidR="006146A8" w:rsidRPr="00122D68" w:rsidRDefault="006146A8" w:rsidP="00FD6DDD">
            <w:pPr>
              <w:jc w:val="both"/>
              <w:rPr>
                <w:rFonts w:cstheme="minorHAnsi"/>
                <w:sz w:val="20"/>
                <w:szCs w:val="20"/>
              </w:rPr>
            </w:pPr>
            <w:r w:rsidRPr="00122D68">
              <w:rPr>
                <w:rFonts w:cstheme="minorHAnsi"/>
                <w:sz w:val="20"/>
                <w:szCs w:val="20"/>
              </w:rPr>
              <w:t>Utility invoices, supported by monthly meter reads</w:t>
            </w:r>
          </w:p>
        </w:tc>
        <w:tc>
          <w:tcPr>
            <w:tcW w:w="3377" w:type="dxa"/>
          </w:tcPr>
          <w:p w14:paraId="51481C40" w14:textId="6790AFC9" w:rsidR="006146A8" w:rsidRPr="00122D68" w:rsidRDefault="00BA448D" w:rsidP="00FD6DDD">
            <w:pPr>
              <w:jc w:val="both"/>
              <w:rPr>
                <w:rFonts w:cstheme="minorHAnsi"/>
                <w:sz w:val="20"/>
                <w:szCs w:val="20"/>
              </w:rPr>
            </w:pPr>
            <w:r>
              <w:rPr>
                <w:rFonts w:cstheme="minorHAnsi"/>
                <w:sz w:val="20"/>
                <w:szCs w:val="20"/>
              </w:rPr>
              <w:t>United Utilities</w:t>
            </w:r>
            <w:r w:rsidR="006146A8" w:rsidRPr="00122D68">
              <w:rPr>
                <w:rFonts w:cstheme="minorHAnsi"/>
                <w:sz w:val="20"/>
                <w:szCs w:val="20"/>
              </w:rPr>
              <w:t xml:space="preserve"> assumes wastewater is 100%</w:t>
            </w:r>
            <w:r w:rsidR="00B51A11" w:rsidRPr="00122D68">
              <w:rPr>
                <w:rFonts w:cstheme="minorHAnsi"/>
                <w:sz w:val="20"/>
                <w:szCs w:val="20"/>
              </w:rPr>
              <w:t xml:space="preserve"> of water consumed</w:t>
            </w:r>
          </w:p>
        </w:tc>
        <w:tc>
          <w:tcPr>
            <w:tcW w:w="1051" w:type="dxa"/>
          </w:tcPr>
          <w:p w14:paraId="69F185A7" w14:textId="0976F91A" w:rsidR="006146A8" w:rsidRPr="00122D68" w:rsidRDefault="006146A8" w:rsidP="00FD6DDD">
            <w:pPr>
              <w:jc w:val="center"/>
              <w:rPr>
                <w:rFonts w:cstheme="minorHAnsi"/>
                <w:sz w:val="20"/>
                <w:szCs w:val="20"/>
              </w:rPr>
            </w:pPr>
            <w:r w:rsidRPr="00122D68">
              <w:rPr>
                <w:rFonts w:cstheme="minorHAnsi"/>
                <w:sz w:val="20"/>
                <w:szCs w:val="20"/>
              </w:rPr>
              <w:t>Accurate</w:t>
            </w:r>
          </w:p>
        </w:tc>
      </w:tr>
      <w:tr w:rsidR="006146A8" w:rsidRPr="00FB3ACC" w14:paraId="2A7D7E81" w14:textId="71A13DF1" w:rsidTr="00E04536">
        <w:tc>
          <w:tcPr>
            <w:tcW w:w="711" w:type="dxa"/>
          </w:tcPr>
          <w:p w14:paraId="1D215EF6" w14:textId="21A2EC28" w:rsidR="006146A8" w:rsidRPr="00122D68" w:rsidRDefault="006146A8" w:rsidP="00FD6DDD">
            <w:pPr>
              <w:pStyle w:val="ListParagraph"/>
              <w:ind w:left="0"/>
              <w:jc w:val="center"/>
              <w:rPr>
                <w:rFonts w:cstheme="minorHAnsi"/>
                <w:sz w:val="20"/>
                <w:szCs w:val="20"/>
              </w:rPr>
            </w:pPr>
            <w:r w:rsidRPr="00122D68">
              <w:rPr>
                <w:rFonts w:cstheme="minorHAnsi"/>
                <w:sz w:val="20"/>
                <w:szCs w:val="20"/>
              </w:rPr>
              <w:t>3</w:t>
            </w:r>
          </w:p>
        </w:tc>
        <w:tc>
          <w:tcPr>
            <w:tcW w:w="2266" w:type="dxa"/>
          </w:tcPr>
          <w:p w14:paraId="2444CEBF" w14:textId="2EF2AE18" w:rsidR="006146A8" w:rsidRPr="00122D68" w:rsidRDefault="006146A8" w:rsidP="0032603A">
            <w:pPr>
              <w:rPr>
                <w:rFonts w:cstheme="minorHAnsi"/>
                <w:sz w:val="20"/>
                <w:szCs w:val="20"/>
              </w:rPr>
            </w:pPr>
            <w:r w:rsidRPr="00122D68">
              <w:rPr>
                <w:rFonts w:cstheme="minorHAnsi"/>
                <w:sz w:val="20"/>
                <w:szCs w:val="20"/>
              </w:rPr>
              <w:t xml:space="preserve">Business travel </w:t>
            </w:r>
          </w:p>
        </w:tc>
        <w:tc>
          <w:tcPr>
            <w:tcW w:w="3119" w:type="dxa"/>
          </w:tcPr>
          <w:p w14:paraId="647EEE43" w14:textId="6614FA1B" w:rsidR="006146A8" w:rsidRPr="00122D68" w:rsidRDefault="006146A8" w:rsidP="00FD6DDD">
            <w:pPr>
              <w:pStyle w:val="ListParagraph"/>
              <w:numPr>
                <w:ilvl w:val="0"/>
                <w:numId w:val="30"/>
              </w:numPr>
              <w:ind w:left="270" w:hanging="284"/>
              <w:jc w:val="both"/>
              <w:rPr>
                <w:rFonts w:cstheme="minorHAnsi"/>
                <w:sz w:val="20"/>
                <w:szCs w:val="20"/>
              </w:rPr>
            </w:pPr>
            <w:r w:rsidRPr="00122D68">
              <w:rPr>
                <w:rFonts w:cstheme="minorHAnsi"/>
                <w:sz w:val="20"/>
                <w:szCs w:val="20"/>
              </w:rPr>
              <w:t>Travel Management Company</w:t>
            </w:r>
            <w:r w:rsidR="003116EE" w:rsidRPr="00122D68">
              <w:rPr>
                <w:rStyle w:val="FootnoteReference"/>
                <w:rFonts w:cstheme="minorHAnsi"/>
                <w:sz w:val="20"/>
                <w:szCs w:val="20"/>
              </w:rPr>
              <w:footnoteReference w:id="8"/>
            </w:r>
          </w:p>
          <w:p w14:paraId="748765B7" w14:textId="16FDADF5" w:rsidR="006146A8" w:rsidRPr="00122D68" w:rsidRDefault="006146A8" w:rsidP="00FD6DDD">
            <w:pPr>
              <w:pStyle w:val="ListParagraph"/>
              <w:numPr>
                <w:ilvl w:val="0"/>
                <w:numId w:val="30"/>
              </w:numPr>
              <w:ind w:left="270" w:hanging="284"/>
              <w:jc w:val="both"/>
              <w:rPr>
                <w:rFonts w:cstheme="minorHAnsi"/>
                <w:sz w:val="20"/>
                <w:szCs w:val="20"/>
              </w:rPr>
            </w:pPr>
            <w:r w:rsidRPr="00122D68">
              <w:rPr>
                <w:rFonts w:cstheme="minorHAnsi"/>
                <w:sz w:val="20"/>
                <w:szCs w:val="20"/>
              </w:rPr>
              <w:t>Credit Card</w:t>
            </w:r>
          </w:p>
          <w:p w14:paraId="09561478" w14:textId="77777777" w:rsidR="006146A8" w:rsidRPr="00122D68" w:rsidRDefault="006146A8" w:rsidP="00FD6DDD">
            <w:pPr>
              <w:pStyle w:val="ListParagraph"/>
              <w:numPr>
                <w:ilvl w:val="0"/>
                <w:numId w:val="30"/>
              </w:numPr>
              <w:ind w:left="270" w:hanging="284"/>
              <w:jc w:val="both"/>
              <w:rPr>
                <w:rFonts w:cstheme="minorHAnsi"/>
                <w:sz w:val="20"/>
                <w:szCs w:val="20"/>
              </w:rPr>
            </w:pPr>
            <w:r w:rsidRPr="00122D68">
              <w:rPr>
                <w:rFonts w:cstheme="minorHAnsi"/>
                <w:sz w:val="20"/>
                <w:szCs w:val="20"/>
              </w:rPr>
              <w:t xml:space="preserve">Expenses </w:t>
            </w:r>
          </w:p>
          <w:p w14:paraId="465C0427" w14:textId="6BC747CA" w:rsidR="006146A8" w:rsidRPr="00122D68" w:rsidRDefault="006146A8" w:rsidP="00FD6DDD">
            <w:pPr>
              <w:pStyle w:val="ListParagraph"/>
              <w:numPr>
                <w:ilvl w:val="0"/>
                <w:numId w:val="30"/>
              </w:numPr>
              <w:ind w:left="270" w:hanging="284"/>
              <w:jc w:val="both"/>
              <w:rPr>
                <w:rFonts w:cstheme="minorHAnsi"/>
                <w:sz w:val="20"/>
                <w:szCs w:val="20"/>
              </w:rPr>
            </w:pPr>
            <w:r w:rsidRPr="00122D68">
              <w:rPr>
                <w:rFonts w:cstheme="minorHAnsi"/>
                <w:sz w:val="20"/>
                <w:szCs w:val="20"/>
              </w:rPr>
              <w:t>Car Hire company</w:t>
            </w:r>
          </w:p>
          <w:p w14:paraId="59A8DE8F" w14:textId="4A4CCB56" w:rsidR="006146A8" w:rsidRPr="00122D68" w:rsidRDefault="006146A8" w:rsidP="00FD6DDD">
            <w:pPr>
              <w:pStyle w:val="ListParagraph"/>
              <w:numPr>
                <w:ilvl w:val="0"/>
                <w:numId w:val="30"/>
              </w:numPr>
              <w:ind w:left="286" w:hanging="284"/>
              <w:jc w:val="both"/>
              <w:rPr>
                <w:rFonts w:cstheme="minorHAnsi"/>
                <w:sz w:val="20"/>
                <w:szCs w:val="20"/>
              </w:rPr>
            </w:pPr>
            <w:r w:rsidRPr="00122D68">
              <w:rPr>
                <w:rFonts w:cstheme="minorHAnsi"/>
                <w:sz w:val="20"/>
                <w:szCs w:val="20"/>
              </w:rPr>
              <w:t>Fuel cards</w:t>
            </w:r>
          </w:p>
        </w:tc>
        <w:tc>
          <w:tcPr>
            <w:tcW w:w="3377" w:type="dxa"/>
          </w:tcPr>
          <w:p w14:paraId="7EBC44E2" w14:textId="2909552A" w:rsidR="006146A8" w:rsidRPr="00122D68" w:rsidRDefault="006146A8" w:rsidP="00FD6DDD">
            <w:pPr>
              <w:jc w:val="both"/>
              <w:rPr>
                <w:rFonts w:cstheme="minorHAnsi"/>
                <w:sz w:val="20"/>
                <w:szCs w:val="20"/>
              </w:rPr>
            </w:pPr>
            <w:r w:rsidRPr="00122D68">
              <w:rPr>
                <w:rFonts w:cstheme="minorHAnsi"/>
                <w:sz w:val="20"/>
                <w:szCs w:val="20"/>
              </w:rPr>
              <w:t>Assumptions are made</w:t>
            </w:r>
            <w:r w:rsidR="003116EE" w:rsidRPr="00122D68">
              <w:rPr>
                <w:rFonts w:cstheme="minorHAnsi"/>
                <w:sz w:val="20"/>
                <w:szCs w:val="20"/>
              </w:rPr>
              <w:t>.  W</w:t>
            </w:r>
            <w:r w:rsidRPr="00122D68">
              <w:rPr>
                <w:rFonts w:cstheme="minorHAnsi"/>
                <w:sz w:val="20"/>
                <w:szCs w:val="20"/>
              </w:rPr>
              <w:t xml:space="preserve">here distances cannot be calculated emissions </w:t>
            </w:r>
            <w:r w:rsidR="003116EE" w:rsidRPr="00122D68">
              <w:rPr>
                <w:rFonts w:cstheme="minorHAnsi"/>
                <w:sz w:val="20"/>
                <w:szCs w:val="20"/>
              </w:rPr>
              <w:t xml:space="preserve">are </w:t>
            </w:r>
            <w:r w:rsidRPr="00122D68">
              <w:rPr>
                <w:rFonts w:cstheme="minorHAnsi"/>
                <w:sz w:val="20"/>
                <w:szCs w:val="20"/>
              </w:rPr>
              <w:t xml:space="preserve">calculated using spend (HESCET tool) </w:t>
            </w:r>
          </w:p>
        </w:tc>
        <w:tc>
          <w:tcPr>
            <w:tcW w:w="1051" w:type="dxa"/>
          </w:tcPr>
          <w:p w14:paraId="51D2446E" w14:textId="3BE2F285" w:rsidR="006146A8" w:rsidRPr="00122D68" w:rsidRDefault="006146A8" w:rsidP="00FD6DDD">
            <w:pPr>
              <w:jc w:val="center"/>
              <w:rPr>
                <w:rFonts w:cstheme="minorHAnsi"/>
                <w:sz w:val="20"/>
                <w:szCs w:val="20"/>
              </w:rPr>
            </w:pPr>
            <w:r w:rsidRPr="00122D68">
              <w:rPr>
                <w:rFonts w:cstheme="minorHAnsi"/>
                <w:sz w:val="20"/>
                <w:szCs w:val="20"/>
              </w:rPr>
              <w:t>Estimated</w:t>
            </w:r>
          </w:p>
        </w:tc>
      </w:tr>
      <w:tr w:rsidR="006146A8" w:rsidRPr="00FB3ACC" w14:paraId="4E44E778" w14:textId="77777777" w:rsidTr="00E04536">
        <w:tc>
          <w:tcPr>
            <w:tcW w:w="711" w:type="dxa"/>
          </w:tcPr>
          <w:p w14:paraId="2E568ABD" w14:textId="6B016831" w:rsidR="006146A8" w:rsidRPr="00122D68" w:rsidRDefault="006146A8" w:rsidP="00FD6DDD">
            <w:pPr>
              <w:pStyle w:val="ListParagraph"/>
              <w:ind w:left="0"/>
              <w:jc w:val="center"/>
              <w:rPr>
                <w:rFonts w:cstheme="minorHAnsi"/>
                <w:sz w:val="20"/>
                <w:szCs w:val="20"/>
              </w:rPr>
            </w:pPr>
            <w:r w:rsidRPr="00122D68">
              <w:rPr>
                <w:rFonts w:cstheme="minorHAnsi"/>
                <w:sz w:val="20"/>
                <w:szCs w:val="20"/>
              </w:rPr>
              <w:t>3</w:t>
            </w:r>
          </w:p>
        </w:tc>
        <w:tc>
          <w:tcPr>
            <w:tcW w:w="2266" w:type="dxa"/>
          </w:tcPr>
          <w:p w14:paraId="49154907" w14:textId="34F17A6E" w:rsidR="006146A8" w:rsidRPr="00122D68" w:rsidRDefault="006146A8" w:rsidP="0032603A">
            <w:pPr>
              <w:rPr>
                <w:rFonts w:cstheme="minorHAnsi"/>
                <w:sz w:val="20"/>
                <w:szCs w:val="20"/>
              </w:rPr>
            </w:pPr>
            <w:r w:rsidRPr="00122D68">
              <w:rPr>
                <w:rFonts w:cstheme="minorHAnsi"/>
                <w:sz w:val="20"/>
                <w:szCs w:val="20"/>
              </w:rPr>
              <w:t>Business travel – hotel stays</w:t>
            </w:r>
          </w:p>
        </w:tc>
        <w:tc>
          <w:tcPr>
            <w:tcW w:w="3119" w:type="dxa"/>
          </w:tcPr>
          <w:p w14:paraId="01CC4F0B" w14:textId="77777777" w:rsidR="006146A8" w:rsidRPr="00122D68" w:rsidRDefault="006146A8" w:rsidP="00FD6DDD">
            <w:pPr>
              <w:pStyle w:val="ListParagraph"/>
              <w:numPr>
                <w:ilvl w:val="0"/>
                <w:numId w:val="31"/>
              </w:numPr>
              <w:ind w:left="270" w:hanging="270"/>
              <w:jc w:val="both"/>
              <w:rPr>
                <w:rFonts w:cstheme="minorHAnsi"/>
                <w:sz w:val="20"/>
                <w:szCs w:val="20"/>
              </w:rPr>
            </w:pPr>
            <w:r w:rsidRPr="00122D68">
              <w:rPr>
                <w:rFonts w:cstheme="minorHAnsi"/>
                <w:sz w:val="20"/>
                <w:szCs w:val="20"/>
              </w:rPr>
              <w:t>Travel Management Company</w:t>
            </w:r>
          </w:p>
          <w:p w14:paraId="5D930D6A" w14:textId="63EED7B0" w:rsidR="006146A8" w:rsidRPr="00122D68" w:rsidRDefault="006146A8" w:rsidP="00FD6DDD">
            <w:pPr>
              <w:pStyle w:val="ListParagraph"/>
              <w:numPr>
                <w:ilvl w:val="0"/>
                <w:numId w:val="31"/>
              </w:numPr>
              <w:ind w:left="270" w:hanging="270"/>
              <w:jc w:val="both"/>
              <w:rPr>
                <w:rFonts w:cstheme="minorHAnsi"/>
                <w:sz w:val="20"/>
                <w:szCs w:val="20"/>
              </w:rPr>
            </w:pPr>
            <w:r w:rsidRPr="00122D68">
              <w:rPr>
                <w:rFonts w:cstheme="minorHAnsi"/>
                <w:sz w:val="20"/>
                <w:szCs w:val="20"/>
              </w:rPr>
              <w:t>Credit card company</w:t>
            </w:r>
          </w:p>
          <w:p w14:paraId="11EF7D5C" w14:textId="4F141376" w:rsidR="006146A8" w:rsidRPr="00122D68" w:rsidRDefault="006146A8" w:rsidP="00FD6DDD">
            <w:pPr>
              <w:pStyle w:val="ListParagraph"/>
              <w:numPr>
                <w:ilvl w:val="0"/>
                <w:numId w:val="31"/>
              </w:numPr>
              <w:ind w:left="270" w:hanging="270"/>
              <w:jc w:val="both"/>
              <w:rPr>
                <w:rFonts w:cstheme="minorHAnsi"/>
                <w:sz w:val="20"/>
                <w:szCs w:val="20"/>
              </w:rPr>
            </w:pPr>
            <w:r w:rsidRPr="00122D68">
              <w:rPr>
                <w:rFonts w:cstheme="minorHAnsi"/>
                <w:sz w:val="20"/>
                <w:szCs w:val="20"/>
              </w:rPr>
              <w:t>Expenses</w:t>
            </w:r>
          </w:p>
        </w:tc>
        <w:tc>
          <w:tcPr>
            <w:tcW w:w="3377" w:type="dxa"/>
          </w:tcPr>
          <w:p w14:paraId="2BA8E54D" w14:textId="77777777" w:rsidR="006146A8" w:rsidRPr="00122D68" w:rsidRDefault="006146A8" w:rsidP="00FD6DDD">
            <w:pPr>
              <w:jc w:val="both"/>
              <w:rPr>
                <w:rFonts w:cstheme="minorHAnsi"/>
                <w:sz w:val="20"/>
                <w:szCs w:val="20"/>
              </w:rPr>
            </w:pPr>
          </w:p>
        </w:tc>
        <w:tc>
          <w:tcPr>
            <w:tcW w:w="1051" w:type="dxa"/>
          </w:tcPr>
          <w:p w14:paraId="61928D55" w14:textId="3E5E10A9" w:rsidR="006146A8" w:rsidRPr="00122D68" w:rsidRDefault="006146A8" w:rsidP="00FD6DDD">
            <w:pPr>
              <w:jc w:val="center"/>
              <w:rPr>
                <w:rFonts w:cstheme="minorHAnsi"/>
                <w:sz w:val="20"/>
                <w:szCs w:val="20"/>
              </w:rPr>
            </w:pPr>
            <w:r w:rsidRPr="00122D68">
              <w:rPr>
                <w:rFonts w:cstheme="minorHAnsi"/>
                <w:sz w:val="20"/>
                <w:szCs w:val="20"/>
              </w:rPr>
              <w:t>No data</w:t>
            </w:r>
          </w:p>
        </w:tc>
      </w:tr>
      <w:tr w:rsidR="006146A8" w:rsidRPr="00FB3ACC" w14:paraId="0A477F6C" w14:textId="77777777" w:rsidTr="00E04536">
        <w:tc>
          <w:tcPr>
            <w:tcW w:w="711" w:type="dxa"/>
          </w:tcPr>
          <w:p w14:paraId="60F0BB70" w14:textId="6418DDAC" w:rsidR="006146A8" w:rsidRPr="00122D68" w:rsidRDefault="006146A8" w:rsidP="00C86190">
            <w:pPr>
              <w:pStyle w:val="ListParagraph"/>
              <w:ind w:left="0"/>
              <w:jc w:val="center"/>
              <w:rPr>
                <w:rFonts w:cstheme="minorHAnsi"/>
                <w:sz w:val="20"/>
                <w:szCs w:val="20"/>
              </w:rPr>
            </w:pPr>
            <w:r w:rsidRPr="00122D68">
              <w:rPr>
                <w:rFonts w:cstheme="minorHAnsi"/>
                <w:sz w:val="20"/>
                <w:szCs w:val="20"/>
              </w:rPr>
              <w:t>3</w:t>
            </w:r>
          </w:p>
        </w:tc>
        <w:tc>
          <w:tcPr>
            <w:tcW w:w="2266" w:type="dxa"/>
          </w:tcPr>
          <w:p w14:paraId="0E5399C6" w14:textId="26AF62C8" w:rsidR="006146A8" w:rsidRPr="00122D68" w:rsidRDefault="006146A8" w:rsidP="0032603A">
            <w:pPr>
              <w:rPr>
                <w:rFonts w:cstheme="minorHAnsi"/>
                <w:sz w:val="20"/>
                <w:szCs w:val="20"/>
              </w:rPr>
            </w:pPr>
            <w:r w:rsidRPr="00122D68">
              <w:rPr>
                <w:rFonts w:cstheme="minorHAnsi"/>
                <w:sz w:val="20"/>
                <w:szCs w:val="20"/>
              </w:rPr>
              <w:t>Business Travel – Student Placements</w:t>
            </w:r>
            <w:r w:rsidR="00BA448D">
              <w:rPr>
                <w:rFonts w:cstheme="minorHAnsi"/>
                <w:sz w:val="20"/>
                <w:szCs w:val="20"/>
              </w:rPr>
              <w:t xml:space="preserve"> </w:t>
            </w:r>
            <w:r w:rsidR="006C2684">
              <w:rPr>
                <w:rFonts w:cstheme="minorHAnsi"/>
                <w:sz w:val="20"/>
                <w:szCs w:val="20"/>
              </w:rPr>
              <w:t>&amp;</w:t>
            </w:r>
            <w:r w:rsidR="00BA448D">
              <w:rPr>
                <w:rFonts w:cstheme="minorHAnsi"/>
                <w:sz w:val="20"/>
                <w:szCs w:val="20"/>
              </w:rPr>
              <w:t xml:space="preserve"> </w:t>
            </w:r>
            <w:r w:rsidR="000D417C">
              <w:rPr>
                <w:rFonts w:cstheme="minorHAnsi"/>
                <w:sz w:val="20"/>
                <w:szCs w:val="20"/>
              </w:rPr>
              <w:t>Fieldtrips</w:t>
            </w:r>
            <w:r w:rsidR="00B51A11" w:rsidRPr="00122D68">
              <w:rPr>
                <w:rStyle w:val="FootnoteReference"/>
                <w:rFonts w:cstheme="minorHAnsi"/>
                <w:sz w:val="20"/>
                <w:szCs w:val="20"/>
              </w:rPr>
              <w:footnoteReference w:id="9"/>
            </w:r>
          </w:p>
        </w:tc>
        <w:tc>
          <w:tcPr>
            <w:tcW w:w="3119" w:type="dxa"/>
          </w:tcPr>
          <w:p w14:paraId="60DCFAD7" w14:textId="76569296" w:rsidR="006146A8" w:rsidRPr="00122D68" w:rsidRDefault="00B51A11" w:rsidP="00C86190">
            <w:pPr>
              <w:jc w:val="both"/>
              <w:rPr>
                <w:rFonts w:cstheme="minorHAnsi"/>
                <w:sz w:val="20"/>
                <w:szCs w:val="20"/>
              </w:rPr>
            </w:pPr>
            <w:r w:rsidRPr="00122D68">
              <w:rPr>
                <w:rFonts w:cstheme="minorHAnsi"/>
                <w:sz w:val="20"/>
                <w:szCs w:val="20"/>
              </w:rPr>
              <w:t>School and Department information</w:t>
            </w:r>
          </w:p>
        </w:tc>
        <w:tc>
          <w:tcPr>
            <w:tcW w:w="3377" w:type="dxa"/>
          </w:tcPr>
          <w:p w14:paraId="1890018B" w14:textId="77777777" w:rsidR="006146A8" w:rsidRPr="00122D68" w:rsidRDefault="006146A8" w:rsidP="00C86190">
            <w:pPr>
              <w:jc w:val="both"/>
              <w:rPr>
                <w:rFonts w:cstheme="minorHAnsi"/>
                <w:sz w:val="20"/>
                <w:szCs w:val="20"/>
              </w:rPr>
            </w:pPr>
          </w:p>
        </w:tc>
        <w:tc>
          <w:tcPr>
            <w:tcW w:w="1051" w:type="dxa"/>
          </w:tcPr>
          <w:p w14:paraId="4C4B92B1" w14:textId="0077B16E" w:rsidR="006146A8" w:rsidRPr="00122D68" w:rsidRDefault="006146A8" w:rsidP="00C86190">
            <w:pPr>
              <w:jc w:val="center"/>
              <w:rPr>
                <w:rFonts w:cstheme="minorHAnsi"/>
                <w:sz w:val="20"/>
                <w:szCs w:val="20"/>
              </w:rPr>
            </w:pPr>
            <w:r w:rsidRPr="00122D68">
              <w:rPr>
                <w:rFonts w:cstheme="minorHAnsi"/>
                <w:sz w:val="20"/>
                <w:szCs w:val="20"/>
              </w:rPr>
              <w:t>No data</w:t>
            </w:r>
          </w:p>
        </w:tc>
      </w:tr>
      <w:tr w:rsidR="006146A8" w:rsidRPr="00FB3ACC" w14:paraId="4C625BC6" w14:textId="0A980FCC" w:rsidTr="00E04536">
        <w:tc>
          <w:tcPr>
            <w:tcW w:w="711" w:type="dxa"/>
          </w:tcPr>
          <w:p w14:paraId="2B6ADBC1" w14:textId="0EF6889F" w:rsidR="006146A8" w:rsidRPr="00122D68" w:rsidRDefault="006146A8" w:rsidP="00C86190">
            <w:pPr>
              <w:pStyle w:val="ListParagraph"/>
              <w:ind w:left="0"/>
              <w:jc w:val="center"/>
              <w:rPr>
                <w:rFonts w:cstheme="minorHAnsi"/>
                <w:sz w:val="20"/>
                <w:szCs w:val="20"/>
              </w:rPr>
            </w:pPr>
            <w:r w:rsidRPr="00122D68">
              <w:rPr>
                <w:rFonts w:cstheme="minorHAnsi"/>
                <w:sz w:val="20"/>
                <w:szCs w:val="20"/>
              </w:rPr>
              <w:t>3</w:t>
            </w:r>
          </w:p>
        </w:tc>
        <w:tc>
          <w:tcPr>
            <w:tcW w:w="2266" w:type="dxa"/>
          </w:tcPr>
          <w:p w14:paraId="3D7D3A21" w14:textId="6B15C71E" w:rsidR="006146A8" w:rsidRPr="00122D68" w:rsidRDefault="006146A8" w:rsidP="0032603A">
            <w:pPr>
              <w:rPr>
                <w:rFonts w:cstheme="minorHAnsi"/>
                <w:sz w:val="20"/>
                <w:szCs w:val="20"/>
              </w:rPr>
            </w:pPr>
            <w:r w:rsidRPr="00122D68">
              <w:rPr>
                <w:rFonts w:cstheme="minorHAnsi"/>
                <w:sz w:val="20"/>
                <w:szCs w:val="20"/>
              </w:rPr>
              <w:t xml:space="preserve">Staff </w:t>
            </w:r>
            <w:r w:rsidR="006C2684">
              <w:rPr>
                <w:rFonts w:cstheme="minorHAnsi"/>
                <w:sz w:val="20"/>
                <w:szCs w:val="20"/>
              </w:rPr>
              <w:t>&amp;</w:t>
            </w:r>
            <w:r w:rsidRPr="00122D68">
              <w:rPr>
                <w:rFonts w:cstheme="minorHAnsi"/>
                <w:sz w:val="20"/>
                <w:szCs w:val="20"/>
              </w:rPr>
              <w:t xml:space="preserve"> Student Commuting</w:t>
            </w:r>
          </w:p>
        </w:tc>
        <w:tc>
          <w:tcPr>
            <w:tcW w:w="3119" w:type="dxa"/>
          </w:tcPr>
          <w:p w14:paraId="43515146" w14:textId="30EDA005" w:rsidR="006146A8" w:rsidRPr="00122D68" w:rsidRDefault="006146A8" w:rsidP="00C86190">
            <w:pPr>
              <w:jc w:val="both"/>
              <w:rPr>
                <w:rFonts w:cstheme="minorHAnsi"/>
                <w:sz w:val="20"/>
                <w:szCs w:val="20"/>
              </w:rPr>
            </w:pPr>
            <w:r w:rsidRPr="00122D68">
              <w:rPr>
                <w:rFonts w:cstheme="minorHAnsi"/>
                <w:sz w:val="20"/>
                <w:szCs w:val="20"/>
              </w:rPr>
              <w:t>Survey</w:t>
            </w:r>
            <w:r w:rsidRPr="00122D68">
              <w:rPr>
                <w:rStyle w:val="FootnoteReference"/>
                <w:rFonts w:cstheme="minorHAnsi"/>
                <w:sz w:val="20"/>
                <w:szCs w:val="20"/>
              </w:rPr>
              <w:footnoteReference w:id="10"/>
            </w:r>
          </w:p>
        </w:tc>
        <w:tc>
          <w:tcPr>
            <w:tcW w:w="3377" w:type="dxa"/>
          </w:tcPr>
          <w:p w14:paraId="082BD49D" w14:textId="424CE7A4" w:rsidR="006146A8" w:rsidRPr="00122D68" w:rsidRDefault="006146A8" w:rsidP="00C86190">
            <w:pPr>
              <w:jc w:val="both"/>
              <w:rPr>
                <w:rFonts w:cstheme="minorHAnsi"/>
                <w:sz w:val="20"/>
                <w:szCs w:val="20"/>
              </w:rPr>
            </w:pPr>
          </w:p>
        </w:tc>
        <w:tc>
          <w:tcPr>
            <w:tcW w:w="1051" w:type="dxa"/>
          </w:tcPr>
          <w:p w14:paraId="06A2C4CD" w14:textId="79C8C4D5" w:rsidR="006146A8" w:rsidRPr="00122D68" w:rsidRDefault="006146A8" w:rsidP="00C86190">
            <w:pPr>
              <w:jc w:val="center"/>
              <w:rPr>
                <w:rFonts w:cstheme="minorHAnsi"/>
                <w:sz w:val="20"/>
                <w:szCs w:val="20"/>
              </w:rPr>
            </w:pPr>
            <w:r w:rsidRPr="00122D68">
              <w:rPr>
                <w:rFonts w:cstheme="minorHAnsi"/>
                <w:sz w:val="20"/>
                <w:szCs w:val="20"/>
              </w:rPr>
              <w:t>Estimated</w:t>
            </w:r>
          </w:p>
        </w:tc>
      </w:tr>
      <w:tr w:rsidR="006146A8" w:rsidRPr="00FB3ACC" w14:paraId="433CAD68" w14:textId="77777777" w:rsidTr="00E04536">
        <w:tc>
          <w:tcPr>
            <w:tcW w:w="711" w:type="dxa"/>
          </w:tcPr>
          <w:p w14:paraId="04A1A1E0" w14:textId="3CFF275D" w:rsidR="006146A8" w:rsidRPr="00122D68" w:rsidRDefault="006146A8" w:rsidP="00C86190">
            <w:pPr>
              <w:pStyle w:val="ListParagraph"/>
              <w:ind w:left="0"/>
              <w:jc w:val="center"/>
              <w:rPr>
                <w:rFonts w:cstheme="minorHAnsi"/>
                <w:sz w:val="20"/>
                <w:szCs w:val="20"/>
              </w:rPr>
            </w:pPr>
            <w:r w:rsidRPr="00122D68">
              <w:rPr>
                <w:rFonts w:cstheme="minorHAnsi"/>
                <w:sz w:val="20"/>
                <w:szCs w:val="20"/>
              </w:rPr>
              <w:t>3</w:t>
            </w:r>
          </w:p>
        </w:tc>
        <w:tc>
          <w:tcPr>
            <w:tcW w:w="2266" w:type="dxa"/>
          </w:tcPr>
          <w:p w14:paraId="47CBBD5B" w14:textId="32B9971E" w:rsidR="006146A8" w:rsidRPr="00122D68" w:rsidRDefault="006146A8" w:rsidP="0032603A">
            <w:pPr>
              <w:rPr>
                <w:rFonts w:cstheme="minorHAnsi"/>
                <w:sz w:val="20"/>
                <w:szCs w:val="20"/>
              </w:rPr>
            </w:pPr>
            <w:r w:rsidRPr="00122D68">
              <w:rPr>
                <w:rFonts w:cstheme="minorHAnsi"/>
                <w:sz w:val="20"/>
                <w:szCs w:val="20"/>
              </w:rPr>
              <w:t>Homeworking</w:t>
            </w:r>
          </w:p>
        </w:tc>
        <w:tc>
          <w:tcPr>
            <w:tcW w:w="3119" w:type="dxa"/>
          </w:tcPr>
          <w:p w14:paraId="3E8E40CE" w14:textId="245F7DF2" w:rsidR="006146A8" w:rsidRPr="00122D68" w:rsidRDefault="006146A8" w:rsidP="00C86190">
            <w:pPr>
              <w:jc w:val="both"/>
              <w:rPr>
                <w:rFonts w:cstheme="minorHAnsi"/>
                <w:sz w:val="20"/>
                <w:szCs w:val="20"/>
              </w:rPr>
            </w:pPr>
            <w:r w:rsidRPr="00122D68">
              <w:rPr>
                <w:rFonts w:cstheme="minorHAnsi"/>
                <w:sz w:val="20"/>
                <w:szCs w:val="20"/>
              </w:rPr>
              <w:t>TBC</w:t>
            </w:r>
          </w:p>
        </w:tc>
        <w:tc>
          <w:tcPr>
            <w:tcW w:w="3377" w:type="dxa"/>
          </w:tcPr>
          <w:p w14:paraId="6E2C21A0" w14:textId="21A7D475" w:rsidR="006146A8" w:rsidRPr="00122D68" w:rsidRDefault="006146A8" w:rsidP="00C86190">
            <w:pPr>
              <w:jc w:val="both"/>
              <w:rPr>
                <w:rFonts w:cstheme="minorHAnsi"/>
                <w:sz w:val="20"/>
                <w:szCs w:val="20"/>
              </w:rPr>
            </w:pPr>
          </w:p>
        </w:tc>
        <w:tc>
          <w:tcPr>
            <w:tcW w:w="1051" w:type="dxa"/>
          </w:tcPr>
          <w:p w14:paraId="256588C5" w14:textId="45BB497D" w:rsidR="006146A8" w:rsidRPr="00122D68" w:rsidRDefault="006146A8" w:rsidP="00C86190">
            <w:pPr>
              <w:jc w:val="center"/>
              <w:rPr>
                <w:rFonts w:cstheme="minorHAnsi"/>
                <w:sz w:val="20"/>
                <w:szCs w:val="20"/>
              </w:rPr>
            </w:pPr>
            <w:r w:rsidRPr="00122D68">
              <w:rPr>
                <w:rFonts w:cstheme="minorHAnsi"/>
                <w:sz w:val="20"/>
                <w:szCs w:val="20"/>
              </w:rPr>
              <w:t>No data</w:t>
            </w:r>
          </w:p>
        </w:tc>
      </w:tr>
      <w:tr w:rsidR="006146A8" w:rsidRPr="00FB3ACC" w14:paraId="7FD9D18C" w14:textId="2D64AF16" w:rsidTr="00E04536">
        <w:tc>
          <w:tcPr>
            <w:tcW w:w="711" w:type="dxa"/>
          </w:tcPr>
          <w:p w14:paraId="1103AB02" w14:textId="0C50C662" w:rsidR="006146A8" w:rsidRPr="00122D68" w:rsidRDefault="006146A8" w:rsidP="00C86190">
            <w:pPr>
              <w:pStyle w:val="ListParagraph"/>
              <w:ind w:left="0"/>
              <w:jc w:val="center"/>
              <w:rPr>
                <w:rFonts w:cstheme="minorHAnsi"/>
                <w:sz w:val="20"/>
                <w:szCs w:val="20"/>
              </w:rPr>
            </w:pPr>
            <w:r w:rsidRPr="00122D68">
              <w:rPr>
                <w:rFonts w:cstheme="minorHAnsi"/>
                <w:sz w:val="20"/>
                <w:szCs w:val="20"/>
              </w:rPr>
              <w:t>3</w:t>
            </w:r>
          </w:p>
        </w:tc>
        <w:tc>
          <w:tcPr>
            <w:tcW w:w="2266" w:type="dxa"/>
          </w:tcPr>
          <w:p w14:paraId="54C422DF" w14:textId="4CF3C0CD" w:rsidR="006146A8" w:rsidRPr="00122D68" w:rsidRDefault="006146A8" w:rsidP="0032603A">
            <w:pPr>
              <w:rPr>
                <w:rFonts w:cstheme="minorHAnsi"/>
                <w:sz w:val="20"/>
                <w:szCs w:val="20"/>
              </w:rPr>
            </w:pPr>
            <w:r w:rsidRPr="00122D68">
              <w:rPr>
                <w:rFonts w:cstheme="minorHAnsi"/>
                <w:sz w:val="20"/>
                <w:szCs w:val="20"/>
              </w:rPr>
              <w:t xml:space="preserve">Student travel to campus at the start </w:t>
            </w:r>
            <w:r w:rsidR="006C2684">
              <w:rPr>
                <w:rFonts w:cstheme="minorHAnsi"/>
                <w:sz w:val="20"/>
                <w:szCs w:val="20"/>
              </w:rPr>
              <w:t>&amp;</w:t>
            </w:r>
            <w:r w:rsidRPr="00122D68">
              <w:rPr>
                <w:rFonts w:cstheme="minorHAnsi"/>
                <w:sz w:val="20"/>
                <w:szCs w:val="20"/>
              </w:rPr>
              <w:t xml:space="preserve"> end of term </w:t>
            </w:r>
          </w:p>
        </w:tc>
        <w:tc>
          <w:tcPr>
            <w:tcW w:w="3119" w:type="dxa"/>
          </w:tcPr>
          <w:p w14:paraId="590CA4BE" w14:textId="3FBE9C7A" w:rsidR="006146A8" w:rsidRPr="00122D68" w:rsidRDefault="006146A8" w:rsidP="00C86190">
            <w:pPr>
              <w:jc w:val="both"/>
              <w:rPr>
                <w:rFonts w:cstheme="minorHAnsi"/>
                <w:sz w:val="20"/>
                <w:szCs w:val="20"/>
              </w:rPr>
            </w:pPr>
            <w:r w:rsidRPr="00122D68">
              <w:rPr>
                <w:rFonts w:cstheme="minorHAnsi"/>
                <w:sz w:val="20"/>
                <w:szCs w:val="20"/>
              </w:rPr>
              <w:t>Survey</w:t>
            </w:r>
          </w:p>
        </w:tc>
        <w:tc>
          <w:tcPr>
            <w:tcW w:w="3377" w:type="dxa"/>
          </w:tcPr>
          <w:p w14:paraId="037AB93B" w14:textId="7258F06E" w:rsidR="006146A8" w:rsidRPr="00122D68" w:rsidRDefault="006146A8" w:rsidP="00C86190">
            <w:pPr>
              <w:jc w:val="both"/>
              <w:rPr>
                <w:rFonts w:cstheme="minorHAnsi"/>
                <w:sz w:val="20"/>
                <w:szCs w:val="20"/>
              </w:rPr>
            </w:pPr>
          </w:p>
        </w:tc>
        <w:tc>
          <w:tcPr>
            <w:tcW w:w="1051" w:type="dxa"/>
          </w:tcPr>
          <w:p w14:paraId="0A9DA4D4" w14:textId="0FDBB835" w:rsidR="006146A8" w:rsidRPr="00122D68" w:rsidRDefault="006146A8" w:rsidP="00C86190">
            <w:pPr>
              <w:jc w:val="center"/>
              <w:rPr>
                <w:rFonts w:cstheme="minorHAnsi"/>
                <w:sz w:val="20"/>
                <w:szCs w:val="20"/>
              </w:rPr>
            </w:pPr>
            <w:r w:rsidRPr="00122D68">
              <w:rPr>
                <w:rFonts w:cstheme="minorHAnsi"/>
                <w:sz w:val="20"/>
                <w:szCs w:val="20"/>
              </w:rPr>
              <w:t>No data</w:t>
            </w:r>
          </w:p>
        </w:tc>
      </w:tr>
      <w:tr w:rsidR="006146A8" w:rsidRPr="00FB3ACC" w14:paraId="2B427105" w14:textId="5CC91794" w:rsidTr="00E04536">
        <w:tc>
          <w:tcPr>
            <w:tcW w:w="711" w:type="dxa"/>
          </w:tcPr>
          <w:p w14:paraId="401EE7CD" w14:textId="5ACC38C7" w:rsidR="006146A8" w:rsidRPr="00122D68" w:rsidRDefault="006146A8" w:rsidP="00C86190">
            <w:pPr>
              <w:pStyle w:val="ListParagraph"/>
              <w:ind w:left="0"/>
              <w:jc w:val="center"/>
              <w:rPr>
                <w:rFonts w:cstheme="minorHAnsi"/>
                <w:sz w:val="20"/>
                <w:szCs w:val="20"/>
              </w:rPr>
            </w:pPr>
            <w:r w:rsidRPr="00122D68">
              <w:rPr>
                <w:rFonts w:cstheme="minorHAnsi"/>
                <w:sz w:val="20"/>
                <w:szCs w:val="20"/>
              </w:rPr>
              <w:t>3</w:t>
            </w:r>
          </w:p>
        </w:tc>
        <w:tc>
          <w:tcPr>
            <w:tcW w:w="2266" w:type="dxa"/>
          </w:tcPr>
          <w:p w14:paraId="6916D050" w14:textId="5D08291D" w:rsidR="006146A8" w:rsidRPr="00122D68" w:rsidRDefault="006146A8" w:rsidP="0032603A">
            <w:pPr>
              <w:rPr>
                <w:rFonts w:cstheme="minorHAnsi"/>
                <w:sz w:val="20"/>
                <w:szCs w:val="20"/>
              </w:rPr>
            </w:pPr>
            <w:r w:rsidRPr="00122D68">
              <w:rPr>
                <w:rFonts w:cstheme="minorHAnsi"/>
                <w:sz w:val="20"/>
                <w:szCs w:val="20"/>
              </w:rPr>
              <w:t>Supply Chain / Procurement</w:t>
            </w:r>
            <w:r w:rsidR="003116EE" w:rsidRPr="00122D68">
              <w:rPr>
                <w:rStyle w:val="FootnoteReference"/>
                <w:rFonts w:cstheme="minorHAnsi"/>
                <w:sz w:val="20"/>
                <w:szCs w:val="20"/>
              </w:rPr>
              <w:footnoteReference w:id="11"/>
            </w:r>
          </w:p>
        </w:tc>
        <w:tc>
          <w:tcPr>
            <w:tcW w:w="3119" w:type="dxa"/>
          </w:tcPr>
          <w:p w14:paraId="3BFDC8AD" w14:textId="7673FEC5" w:rsidR="006146A8" w:rsidRPr="00122D68" w:rsidRDefault="006146A8" w:rsidP="00C86190">
            <w:pPr>
              <w:jc w:val="both"/>
              <w:rPr>
                <w:rFonts w:cstheme="minorHAnsi"/>
                <w:sz w:val="20"/>
                <w:szCs w:val="20"/>
              </w:rPr>
            </w:pPr>
            <w:r w:rsidRPr="00122D68">
              <w:rPr>
                <w:rFonts w:cstheme="minorHAnsi"/>
                <w:sz w:val="20"/>
                <w:szCs w:val="20"/>
              </w:rPr>
              <w:t>Higher Education Supply-Chain Emissions Tool (HESCET</w:t>
            </w:r>
            <w:r w:rsidR="000D417C">
              <w:rPr>
                <w:rFonts w:cstheme="minorHAnsi"/>
                <w:sz w:val="20"/>
                <w:szCs w:val="20"/>
              </w:rPr>
              <w:t>)</w:t>
            </w:r>
            <w:r w:rsidRPr="00122D68">
              <w:rPr>
                <w:rFonts w:cstheme="minorHAnsi"/>
                <w:sz w:val="20"/>
                <w:szCs w:val="20"/>
              </w:rPr>
              <w:t xml:space="preserve"> </w:t>
            </w:r>
          </w:p>
        </w:tc>
        <w:tc>
          <w:tcPr>
            <w:tcW w:w="3377" w:type="dxa"/>
          </w:tcPr>
          <w:p w14:paraId="0DA8219A" w14:textId="2D5490A3" w:rsidR="000D417C" w:rsidRDefault="006146A8" w:rsidP="000D417C">
            <w:pPr>
              <w:pStyle w:val="ListParagraph"/>
              <w:numPr>
                <w:ilvl w:val="0"/>
                <w:numId w:val="24"/>
              </w:numPr>
              <w:ind w:left="147" w:hanging="147"/>
              <w:jc w:val="both"/>
              <w:rPr>
                <w:rFonts w:cstheme="minorHAnsi"/>
                <w:sz w:val="20"/>
                <w:szCs w:val="20"/>
              </w:rPr>
            </w:pPr>
            <w:r w:rsidRPr="000D417C">
              <w:rPr>
                <w:rFonts w:cstheme="minorHAnsi"/>
                <w:sz w:val="20"/>
                <w:szCs w:val="20"/>
              </w:rPr>
              <w:t>Based on spend</w:t>
            </w:r>
            <w:r w:rsidR="000D417C">
              <w:rPr>
                <w:rFonts w:cstheme="minorHAnsi"/>
                <w:sz w:val="20"/>
                <w:szCs w:val="20"/>
              </w:rPr>
              <w:t xml:space="preserve"> (Proc HE coding)</w:t>
            </w:r>
          </w:p>
          <w:p w14:paraId="202DDAA2" w14:textId="7EBD8A55" w:rsidR="006146A8" w:rsidRPr="00122D68" w:rsidRDefault="000D417C" w:rsidP="000D417C">
            <w:pPr>
              <w:pStyle w:val="ListParagraph"/>
              <w:numPr>
                <w:ilvl w:val="0"/>
                <w:numId w:val="24"/>
              </w:numPr>
              <w:ind w:left="147" w:hanging="147"/>
              <w:jc w:val="both"/>
              <w:rPr>
                <w:rFonts w:cstheme="minorHAnsi"/>
                <w:sz w:val="20"/>
                <w:szCs w:val="20"/>
              </w:rPr>
            </w:pPr>
            <w:r>
              <w:rPr>
                <w:rFonts w:cstheme="minorHAnsi"/>
                <w:sz w:val="20"/>
                <w:szCs w:val="20"/>
              </w:rPr>
              <w:t>P</w:t>
            </w:r>
            <w:r w:rsidR="006146A8" w:rsidRPr="00122D68">
              <w:rPr>
                <w:rFonts w:cstheme="minorHAnsi"/>
                <w:sz w:val="20"/>
                <w:szCs w:val="20"/>
              </w:rPr>
              <w:t xml:space="preserve">ossible double counting of emissions </w:t>
            </w:r>
          </w:p>
        </w:tc>
        <w:tc>
          <w:tcPr>
            <w:tcW w:w="1051" w:type="dxa"/>
          </w:tcPr>
          <w:p w14:paraId="299A7C4F" w14:textId="5E701900" w:rsidR="006146A8" w:rsidRPr="00122D68" w:rsidRDefault="006146A8" w:rsidP="00C86190">
            <w:pPr>
              <w:jc w:val="center"/>
              <w:rPr>
                <w:rFonts w:cstheme="minorHAnsi"/>
                <w:sz w:val="20"/>
                <w:szCs w:val="20"/>
              </w:rPr>
            </w:pPr>
            <w:r w:rsidRPr="00122D68">
              <w:rPr>
                <w:rFonts w:cstheme="minorHAnsi"/>
                <w:sz w:val="20"/>
                <w:szCs w:val="20"/>
              </w:rPr>
              <w:t>Estimated</w:t>
            </w:r>
          </w:p>
        </w:tc>
      </w:tr>
      <w:tr w:rsidR="006146A8" w:rsidRPr="00FB3ACC" w14:paraId="1F173EAE" w14:textId="77777777" w:rsidTr="00E04536">
        <w:tc>
          <w:tcPr>
            <w:tcW w:w="711" w:type="dxa"/>
          </w:tcPr>
          <w:p w14:paraId="1C610C58" w14:textId="26F3D65C" w:rsidR="006146A8" w:rsidRPr="00122D68" w:rsidRDefault="006146A8" w:rsidP="00C86190">
            <w:pPr>
              <w:pStyle w:val="ListParagraph"/>
              <w:ind w:left="0"/>
              <w:jc w:val="center"/>
              <w:rPr>
                <w:rFonts w:cstheme="minorHAnsi"/>
                <w:sz w:val="20"/>
                <w:szCs w:val="20"/>
              </w:rPr>
            </w:pPr>
            <w:r w:rsidRPr="00122D68">
              <w:rPr>
                <w:rFonts w:cstheme="minorHAnsi"/>
                <w:sz w:val="20"/>
                <w:szCs w:val="20"/>
              </w:rPr>
              <w:t>3</w:t>
            </w:r>
          </w:p>
        </w:tc>
        <w:tc>
          <w:tcPr>
            <w:tcW w:w="2266" w:type="dxa"/>
          </w:tcPr>
          <w:p w14:paraId="5223510D" w14:textId="73735A5D" w:rsidR="006146A8" w:rsidRPr="00122D68" w:rsidRDefault="006146A8" w:rsidP="0032603A">
            <w:pPr>
              <w:rPr>
                <w:rFonts w:cstheme="minorHAnsi"/>
                <w:sz w:val="20"/>
                <w:szCs w:val="20"/>
              </w:rPr>
            </w:pPr>
            <w:r w:rsidRPr="00122D68">
              <w:rPr>
                <w:rFonts w:cstheme="minorHAnsi"/>
                <w:sz w:val="20"/>
                <w:szCs w:val="20"/>
              </w:rPr>
              <w:t>Investments</w:t>
            </w:r>
          </w:p>
        </w:tc>
        <w:tc>
          <w:tcPr>
            <w:tcW w:w="3119" w:type="dxa"/>
          </w:tcPr>
          <w:p w14:paraId="2409BBB1" w14:textId="2B5EA4E9" w:rsidR="006146A8" w:rsidRPr="00122D68" w:rsidRDefault="006146A8" w:rsidP="00C86190">
            <w:pPr>
              <w:jc w:val="both"/>
              <w:rPr>
                <w:rFonts w:cstheme="minorHAnsi"/>
                <w:sz w:val="20"/>
                <w:szCs w:val="20"/>
              </w:rPr>
            </w:pPr>
            <w:r w:rsidRPr="00122D68">
              <w:rPr>
                <w:rFonts w:cstheme="minorHAnsi"/>
                <w:sz w:val="20"/>
                <w:szCs w:val="20"/>
              </w:rPr>
              <w:t>TBC</w:t>
            </w:r>
          </w:p>
        </w:tc>
        <w:tc>
          <w:tcPr>
            <w:tcW w:w="3377" w:type="dxa"/>
          </w:tcPr>
          <w:p w14:paraId="2472287B" w14:textId="77777777" w:rsidR="006146A8" w:rsidRPr="00122D68" w:rsidRDefault="006146A8" w:rsidP="00C86190">
            <w:pPr>
              <w:jc w:val="both"/>
              <w:rPr>
                <w:rFonts w:cstheme="minorHAnsi"/>
                <w:sz w:val="20"/>
                <w:szCs w:val="20"/>
              </w:rPr>
            </w:pPr>
          </w:p>
        </w:tc>
        <w:tc>
          <w:tcPr>
            <w:tcW w:w="1051" w:type="dxa"/>
          </w:tcPr>
          <w:p w14:paraId="51F0D48E" w14:textId="68E953B0" w:rsidR="006146A8" w:rsidRPr="00122D68" w:rsidRDefault="006146A8" w:rsidP="00C86190">
            <w:pPr>
              <w:jc w:val="center"/>
              <w:rPr>
                <w:rFonts w:cstheme="minorHAnsi"/>
                <w:sz w:val="20"/>
                <w:szCs w:val="20"/>
              </w:rPr>
            </w:pPr>
            <w:r w:rsidRPr="00122D68">
              <w:rPr>
                <w:rFonts w:cstheme="minorHAnsi"/>
                <w:sz w:val="20"/>
                <w:szCs w:val="20"/>
              </w:rPr>
              <w:t>No data</w:t>
            </w:r>
          </w:p>
        </w:tc>
      </w:tr>
    </w:tbl>
    <w:p w14:paraId="7443860B" w14:textId="7E00F110" w:rsidR="00A46078" w:rsidRDefault="00A46078" w:rsidP="000D417C"/>
    <w:sectPr w:rsidR="00A46078" w:rsidSect="004057BA">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AFDAE" w14:textId="77777777" w:rsidR="00A86369" w:rsidRDefault="00A86369" w:rsidP="00D45FA6">
      <w:r>
        <w:separator/>
      </w:r>
    </w:p>
  </w:endnote>
  <w:endnote w:type="continuationSeparator" w:id="0">
    <w:p w14:paraId="3C65B16D" w14:textId="77777777" w:rsidR="00A86369" w:rsidRDefault="00A86369" w:rsidP="00D4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C9A8E" w14:textId="77777777" w:rsidR="00A86369" w:rsidRDefault="00A86369" w:rsidP="00D45FA6">
      <w:r>
        <w:separator/>
      </w:r>
    </w:p>
  </w:footnote>
  <w:footnote w:type="continuationSeparator" w:id="0">
    <w:p w14:paraId="207951BF" w14:textId="77777777" w:rsidR="00A86369" w:rsidRDefault="00A86369" w:rsidP="00D45FA6">
      <w:r>
        <w:continuationSeparator/>
      </w:r>
    </w:p>
  </w:footnote>
  <w:footnote w:id="1">
    <w:p w14:paraId="2EF34CB4" w14:textId="30433B40" w:rsidR="00A86369" w:rsidRDefault="00A86369" w:rsidP="00787277">
      <w:pPr>
        <w:pStyle w:val="FootnoteText"/>
      </w:pPr>
      <w:r>
        <w:rPr>
          <w:rStyle w:val="FootnoteReference"/>
        </w:rPr>
        <w:footnoteRef/>
      </w:r>
      <w:r>
        <w:t xml:space="preserve"> </w:t>
      </w:r>
      <w:r w:rsidRPr="000210AA">
        <w:rPr>
          <w:rFonts w:ascii="Arial" w:hAnsi="Arial" w:cs="Arial"/>
          <w:b/>
        </w:rPr>
        <w:t>‘Net zero’</w:t>
      </w:r>
      <w:r w:rsidRPr="000210AA">
        <w:rPr>
          <w:rFonts w:ascii="Arial" w:hAnsi="Arial" w:cs="Arial"/>
        </w:rPr>
        <w:t xml:space="preserve"> refers to achieving an overall balance between emissions produced and emissions taken out of the atmosphere.  </w:t>
      </w:r>
      <w:r>
        <w:rPr>
          <w:rFonts w:ascii="Arial" w:hAnsi="Arial" w:cs="Arial"/>
        </w:rPr>
        <w:t>Principally, w</w:t>
      </w:r>
      <w:r w:rsidRPr="000210AA">
        <w:rPr>
          <w:rFonts w:ascii="Arial" w:hAnsi="Arial" w:cs="Arial"/>
        </w:rPr>
        <w:t>e have to reduce emissions to an absolute minimum and then offset any remaining emissions (tree planting, land use and management, carbon capture and storage</w:t>
      </w:r>
      <w:r>
        <w:rPr>
          <w:rFonts w:ascii="Arial" w:hAnsi="Arial" w:cs="Arial"/>
        </w:rPr>
        <w:t>).  A</w:t>
      </w:r>
      <w:r w:rsidRPr="000210AA">
        <w:rPr>
          <w:rFonts w:ascii="Arial" w:hAnsi="Arial" w:cs="Arial"/>
        </w:rPr>
        <w:t>n accepted method</w:t>
      </w:r>
      <w:r>
        <w:rPr>
          <w:rFonts w:ascii="Arial" w:hAnsi="Arial" w:cs="Arial"/>
        </w:rPr>
        <w:t xml:space="preserve"> of offsetting</w:t>
      </w:r>
      <w:r w:rsidRPr="000210AA">
        <w:rPr>
          <w:rFonts w:ascii="Arial" w:hAnsi="Arial" w:cs="Arial"/>
        </w:rPr>
        <w:t xml:space="preserve"> has not yet been approved, but there has been discussion between the S</w:t>
      </w:r>
      <w:r>
        <w:rPr>
          <w:rFonts w:ascii="Arial" w:hAnsi="Arial" w:cs="Arial"/>
        </w:rPr>
        <w:t xml:space="preserve">tudents </w:t>
      </w:r>
      <w:r w:rsidRPr="000210AA">
        <w:rPr>
          <w:rFonts w:ascii="Arial" w:hAnsi="Arial" w:cs="Arial"/>
        </w:rPr>
        <w:t>O</w:t>
      </w:r>
      <w:r>
        <w:rPr>
          <w:rFonts w:ascii="Arial" w:hAnsi="Arial" w:cs="Arial"/>
        </w:rPr>
        <w:t xml:space="preserve">rganising for Sustainability </w:t>
      </w:r>
      <w:r w:rsidRPr="000210AA">
        <w:rPr>
          <w:rFonts w:ascii="Arial" w:hAnsi="Arial" w:cs="Arial"/>
        </w:rPr>
        <w:t>(</w:t>
      </w:r>
      <w:r>
        <w:rPr>
          <w:rFonts w:ascii="Arial" w:hAnsi="Arial" w:cs="Arial"/>
        </w:rPr>
        <w:t xml:space="preserve">the sustainability branch of the </w:t>
      </w:r>
      <w:r w:rsidRPr="000210AA">
        <w:rPr>
          <w:rFonts w:ascii="Arial" w:hAnsi="Arial" w:cs="Arial"/>
        </w:rPr>
        <w:t>NUS)</w:t>
      </w:r>
      <w:r>
        <w:rPr>
          <w:rFonts w:ascii="Arial" w:hAnsi="Arial" w:cs="Arial"/>
        </w:rPr>
        <w:t xml:space="preserve"> and Universities to explore </w:t>
      </w:r>
      <w:r w:rsidRPr="000210AA">
        <w:rPr>
          <w:rFonts w:ascii="Arial" w:hAnsi="Arial" w:cs="Arial"/>
        </w:rPr>
        <w:t>what this might look like</w:t>
      </w:r>
      <w:r>
        <w:rPr>
          <w:rFonts w:ascii="Arial" w:hAnsi="Arial" w:cs="Arial"/>
        </w:rPr>
        <w:t>.</w:t>
      </w:r>
    </w:p>
  </w:footnote>
  <w:footnote w:id="2">
    <w:p w14:paraId="6AEA7F7B" w14:textId="0475BB51" w:rsidR="00A86369" w:rsidRPr="005A1AD4" w:rsidRDefault="00A86369">
      <w:pPr>
        <w:pStyle w:val="FootnoteText"/>
      </w:pPr>
      <w:r>
        <w:rPr>
          <w:rStyle w:val="FootnoteReference"/>
        </w:rPr>
        <w:footnoteRef/>
      </w:r>
      <w:r>
        <w:t xml:space="preserve"> Carbon emissions </w:t>
      </w:r>
      <w:r w:rsidRPr="005A1AD4">
        <w:t xml:space="preserve">are calculated using the Government’s conversion factors for company reporting </w:t>
      </w:r>
      <w:hyperlink r:id="rId1" w:anchor="conversion-factors-2016" w:history="1">
        <w:r w:rsidRPr="005A1AD4">
          <w:rPr>
            <w:rStyle w:val="Hyperlink"/>
          </w:rPr>
          <w:t>https://www.gov.uk/government/collections/government-conversion-factors-for-company-reporting#conversion-factors-2016</w:t>
        </w:r>
      </w:hyperlink>
      <w:r w:rsidRPr="005A1AD4">
        <w:t xml:space="preserve"> </w:t>
      </w:r>
    </w:p>
  </w:footnote>
  <w:footnote w:id="3">
    <w:p w14:paraId="2D036F69" w14:textId="26008F10" w:rsidR="00A86369" w:rsidRPr="0007013E" w:rsidRDefault="00A86369">
      <w:pPr>
        <w:pStyle w:val="FootnoteText"/>
      </w:pPr>
      <w:r>
        <w:rPr>
          <w:rStyle w:val="FootnoteReference"/>
        </w:rPr>
        <w:footnoteRef/>
      </w:r>
      <w:r>
        <w:t xml:space="preserve"> There are seven main greenhouse gases that contribute to climate change, as covered by the Kyoto protocol – carbon dioxide (CO</w:t>
      </w:r>
      <w:r>
        <w:rPr>
          <w:vertAlign w:val="subscript"/>
        </w:rPr>
        <w:t>2</w:t>
      </w:r>
      <w:r>
        <w:t>), methane (CH</w:t>
      </w:r>
      <w:r>
        <w:rPr>
          <w:vertAlign w:val="subscript"/>
        </w:rPr>
        <w:t>4</w:t>
      </w:r>
      <w:r>
        <w:t>), nitrous oxide (N</w:t>
      </w:r>
      <w:r>
        <w:rPr>
          <w:vertAlign w:val="subscript"/>
        </w:rPr>
        <w:t>2</w:t>
      </w:r>
      <w:r>
        <w:t>O), hydrofluorocarbons (HFCs), perfluorocarbons (PFCs), sulphur hexafluoride (SF</w:t>
      </w:r>
      <w:r>
        <w:rPr>
          <w:vertAlign w:val="subscript"/>
        </w:rPr>
        <w:t>6</w:t>
      </w:r>
      <w:r>
        <w:t>) and nitrogen trifluoride (NF</w:t>
      </w:r>
      <w:r>
        <w:rPr>
          <w:vertAlign w:val="subscript"/>
        </w:rPr>
        <w:t>3</w:t>
      </w:r>
      <w:r>
        <w:t>)</w:t>
      </w:r>
    </w:p>
  </w:footnote>
  <w:footnote w:id="4">
    <w:p w14:paraId="068F0472" w14:textId="23F510A4" w:rsidR="00A86369" w:rsidRDefault="00A86369">
      <w:pPr>
        <w:pStyle w:val="FootnoteText"/>
      </w:pPr>
      <w:r>
        <w:rPr>
          <w:rStyle w:val="FootnoteReference"/>
        </w:rPr>
        <w:footnoteRef/>
      </w:r>
      <w:r>
        <w:t xml:space="preserve"> Scope 3 travel and transport emissions are widely recognised as one of the most challenging sources of emissions to calculate</w:t>
      </w:r>
    </w:p>
  </w:footnote>
  <w:footnote w:id="5">
    <w:p w14:paraId="7C67FC09" w14:textId="3816142A" w:rsidR="00A86369" w:rsidRDefault="00A86369">
      <w:pPr>
        <w:pStyle w:val="FootnoteText"/>
      </w:pPr>
      <w:r>
        <w:rPr>
          <w:rStyle w:val="FootnoteReference"/>
        </w:rPr>
        <w:footnoteRef/>
      </w:r>
      <w:r>
        <w:t xml:space="preserve"> The University has very little scope to dictate / influence how staff and students travel to University as it is their personal decision; however, measures can be put in place to influence travel and behaviour</w:t>
      </w:r>
    </w:p>
  </w:footnote>
  <w:footnote w:id="6">
    <w:p w14:paraId="199F3747" w14:textId="28A4B123" w:rsidR="00A86369" w:rsidRDefault="00A86369">
      <w:pPr>
        <w:pStyle w:val="FootnoteText"/>
      </w:pPr>
      <w:r>
        <w:rPr>
          <w:rStyle w:val="FootnoteReference"/>
        </w:rPr>
        <w:footnoteRef/>
      </w:r>
      <w:r>
        <w:t xml:space="preserve"> Student travel to the University at the start and end of term is out of our control and sphere of influence and the University does not currently have effective, efficient and accurate data capture mechanisms in place (to collect either the mode of transport, distance travelled or the number of times the students travel home); though emissions may be significant.  Student travel also raises the question of whether travel to graduation should be included.</w:t>
      </w:r>
    </w:p>
  </w:footnote>
  <w:footnote w:id="7">
    <w:p w14:paraId="7FA77CB0" w14:textId="247689AD" w:rsidR="00A86369" w:rsidRDefault="00A86369">
      <w:pPr>
        <w:pStyle w:val="FootnoteText"/>
      </w:pPr>
      <w:r w:rsidRPr="00CF0EAB">
        <w:rPr>
          <w:rStyle w:val="FootnoteReference"/>
          <w:rFonts w:cstheme="minorHAnsi"/>
        </w:rPr>
        <w:footnoteRef/>
      </w:r>
      <w:r w:rsidRPr="00CF0EAB">
        <w:rPr>
          <w:rFonts w:cstheme="minorHAnsi"/>
        </w:rPr>
        <w:t xml:space="preserve"> The Carbon</w:t>
      </w:r>
      <w:r>
        <w:t xml:space="preserve"> Reduction Target and Strategy for HE in England 2009 states: Carbon offsetting may not be used to meet institutions carbon reduction targets for Scope 1 and 2 emissions.  However, carbon offsetting may form part of the institutions Carbon Management Plan</w:t>
      </w:r>
    </w:p>
  </w:footnote>
  <w:footnote w:id="8">
    <w:p w14:paraId="4DCBD372" w14:textId="54ABBBA7" w:rsidR="00A86369" w:rsidRDefault="00A86369">
      <w:pPr>
        <w:pStyle w:val="FootnoteText"/>
      </w:pPr>
      <w:r>
        <w:rPr>
          <w:rStyle w:val="FootnoteReference"/>
        </w:rPr>
        <w:footnoteRef/>
      </w:r>
      <w:r>
        <w:t xml:space="preserve"> Air travel – from 2019-2020 return long haul flights (over 3700km) have been separated into those departing from UK airports and those departing from non-UK airports</w:t>
      </w:r>
    </w:p>
  </w:footnote>
  <w:footnote w:id="9">
    <w:p w14:paraId="402F7FEE" w14:textId="04678319" w:rsidR="00A86369" w:rsidRDefault="00A86369">
      <w:pPr>
        <w:pStyle w:val="FootnoteText"/>
      </w:pPr>
      <w:r>
        <w:rPr>
          <w:rStyle w:val="FootnoteReference"/>
        </w:rPr>
        <w:footnoteRef/>
      </w:r>
      <w:r>
        <w:t xml:space="preserve"> Only travel which is paid for by the University will be included</w:t>
      </w:r>
    </w:p>
  </w:footnote>
  <w:footnote w:id="10">
    <w:p w14:paraId="2720A2E1" w14:textId="7DBFC1F9" w:rsidR="00A86369" w:rsidRDefault="00A86369">
      <w:pPr>
        <w:pStyle w:val="FootnoteText"/>
      </w:pPr>
      <w:r>
        <w:rPr>
          <w:rStyle w:val="FootnoteReference"/>
        </w:rPr>
        <w:footnoteRef/>
      </w:r>
      <w:r>
        <w:t xml:space="preserve"> The data is extrapolated from the responses received from biennial travel surveys and is based on a number of assumptions.  </w:t>
      </w:r>
    </w:p>
  </w:footnote>
  <w:footnote w:id="11">
    <w:p w14:paraId="1D1E1E92" w14:textId="08C82DA9" w:rsidR="00A86369" w:rsidRDefault="00A86369">
      <w:pPr>
        <w:pStyle w:val="FootnoteText"/>
      </w:pPr>
      <w:r>
        <w:rPr>
          <w:rStyle w:val="FootnoteReference"/>
        </w:rPr>
        <w:footnoteRef/>
      </w:r>
      <w:r>
        <w:t xml:space="preserve"> ‘sector average’ carbon intensity values are used, meaning they do not reflect ‘local’ differences in consumption, such as consumption of eco-friendly products which often have a higher price.  Comparison between years is problematic as the methodology drastically changed for the 2018-2019 data set and data must be treated with caution.  However, across the sector HESCET is the best available tool at present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4EFC"/>
    <w:multiLevelType w:val="hybridMultilevel"/>
    <w:tmpl w:val="ED743950"/>
    <w:lvl w:ilvl="0" w:tplc="FB523BA0">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3675C"/>
    <w:multiLevelType w:val="hybridMultilevel"/>
    <w:tmpl w:val="BAB8DB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7A1AA6"/>
    <w:multiLevelType w:val="multilevel"/>
    <w:tmpl w:val="1B8E625E"/>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F32D94"/>
    <w:multiLevelType w:val="hybridMultilevel"/>
    <w:tmpl w:val="DCF66D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9B683E"/>
    <w:multiLevelType w:val="hybridMultilevel"/>
    <w:tmpl w:val="FD9CE3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117D78"/>
    <w:multiLevelType w:val="hybridMultilevel"/>
    <w:tmpl w:val="EAC63954"/>
    <w:lvl w:ilvl="0" w:tplc="368CEC68">
      <w:start w:val="55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04E4A"/>
    <w:multiLevelType w:val="hybridMultilevel"/>
    <w:tmpl w:val="2A30FE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C57D5D"/>
    <w:multiLevelType w:val="hybridMultilevel"/>
    <w:tmpl w:val="5DFE7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E86ECE"/>
    <w:multiLevelType w:val="hybridMultilevel"/>
    <w:tmpl w:val="3A2E6BA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30CD2"/>
    <w:multiLevelType w:val="hybridMultilevel"/>
    <w:tmpl w:val="EFB8FCC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957291"/>
    <w:multiLevelType w:val="hybridMultilevel"/>
    <w:tmpl w:val="3E0CE5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5E19D8"/>
    <w:multiLevelType w:val="hybridMultilevel"/>
    <w:tmpl w:val="16B2F8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BE3AE5"/>
    <w:multiLevelType w:val="hybridMultilevel"/>
    <w:tmpl w:val="04440788"/>
    <w:lvl w:ilvl="0" w:tplc="C3588D6C">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891681"/>
    <w:multiLevelType w:val="hybridMultilevel"/>
    <w:tmpl w:val="EF2641A2"/>
    <w:lvl w:ilvl="0" w:tplc="990CE34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F93183"/>
    <w:multiLevelType w:val="hybridMultilevel"/>
    <w:tmpl w:val="EB94350E"/>
    <w:lvl w:ilvl="0" w:tplc="A740D21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036B9C"/>
    <w:multiLevelType w:val="multilevel"/>
    <w:tmpl w:val="5FF6CF4A"/>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6A82E6B"/>
    <w:multiLevelType w:val="hybridMultilevel"/>
    <w:tmpl w:val="B3A41B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BF6A86"/>
    <w:multiLevelType w:val="hybridMultilevel"/>
    <w:tmpl w:val="7236F28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F31D7A"/>
    <w:multiLevelType w:val="hybridMultilevel"/>
    <w:tmpl w:val="50448FA8"/>
    <w:lvl w:ilvl="0" w:tplc="E312DB62">
      <w:numFmt w:val="bullet"/>
      <w:lvlText w:val=""/>
      <w:lvlJc w:val="left"/>
      <w:pPr>
        <w:ind w:left="720" w:hanging="360"/>
      </w:pPr>
      <w:rPr>
        <w:rFonts w:ascii="Symbol" w:eastAsiaTheme="minorHAnsi"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695979"/>
    <w:multiLevelType w:val="hybridMultilevel"/>
    <w:tmpl w:val="B9E2838E"/>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C51F81"/>
    <w:multiLevelType w:val="hybridMultilevel"/>
    <w:tmpl w:val="CD28FB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DD390F"/>
    <w:multiLevelType w:val="hybridMultilevel"/>
    <w:tmpl w:val="3C0C1B7C"/>
    <w:lvl w:ilvl="0" w:tplc="0240D31A">
      <w:start w:val="3"/>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6F7F7E"/>
    <w:multiLevelType w:val="hybridMultilevel"/>
    <w:tmpl w:val="2CFE6542"/>
    <w:lvl w:ilvl="0" w:tplc="1E9C8E78">
      <w:start w:val="2019"/>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045C89"/>
    <w:multiLevelType w:val="hybridMultilevel"/>
    <w:tmpl w:val="3DF8A78A"/>
    <w:lvl w:ilvl="0" w:tplc="BC36FE7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145539"/>
    <w:multiLevelType w:val="hybridMultilevel"/>
    <w:tmpl w:val="5AEC803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A115B1"/>
    <w:multiLevelType w:val="hybridMultilevel"/>
    <w:tmpl w:val="7F649C72"/>
    <w:lvl w:ilvl="0" w:tplc="22E410A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DD3E7B"/>
    <w:multiLevelType w:val="multilevel"/>
    <w:tmpl w:val="83B2DC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98D6416"/>
    <w:multiLevelType w:val="hybridMultilevel"/>
    <w:tmpl w:val="ABEC1660"/>
    <w:lvl w:ilvl="0" w:tplc="3A02C23A">
      <w:start w:val="55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D2648A"/>
    <w:multiLevelType w:val="hybridMultilevel"/>
    <w:tmpl w:val="B1D82264"/>
    <w:lvl w:ilvl="0" w:tplc="0240D31A">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23734A"/>
    <w:multiLevelType w:val="hybridMultilevel"/>
    <w:tmpl w:val="C45CAB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AB5E7E"/>
    <w:multiLevelType w:val="hybridMultilevel"/>
    <w:tmpl w:val="4162B460"/>
    <w:lvl w:ilvl="0" w:tplc="375662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2848FD"/>
    <w:multiLevelType w:val="hybridMultilevel"/>
    <w:tmpl w:val="EE5E17F4"/>
    <w:lvl w:ilvl="0" w:tplc="332EF25A">
      <w:start w:val="2019"/>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5770B0"/>
    <w:multiLevelType w:val="multilevel"/>
    <w:tmpl w:val="BEAAF8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97B64CF"/>
    <w:multiLevelType w:val="hybridMultilevel"/>
    <w:tmpl w:val="C85E7B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0A25E2"/>
    <w:multiLevelType w:val="multilevel"/>
    <w:tmpl w:val="FFCA6DB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1800" w:hanging="1440"/>
      </w:pPr>
      <w:rPr>
        <w:rFonts w:hint="default"/>
        <w:b/>
        <w:u w:val="single"/>
      </w:rPr>
    </w:lvl>
  </w:abstractNum>
  <w:abstractNum w:abstractNumId="35" w15:restartNumberingAfterBreak="0">
    <w:nsid w:val="7F8F5DE2"/>
    <w:multiLevelType w:val="hybridMultilevel"/>
    <w:tmpl w:val="4D7018AC"/>
    <w:lvl w:ilvl="0" w:tplc="9606DB4A">
      <w:start w:val="5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1"/>
  </w:num>
  <w:num w:numId="4">
    <w:abstractNumId w:val="19"/>
  </w:num>
  <w:num w:numId="5">
    <w:abstractNumId w:val="2"/>
  </w:num>
  <w:num w:numId="6">
    <w:abstractNumId w:val="17"/>
  </w:num>
  <w:num w:numId="7">
    <w:abstractNumId w:val="24"/>
  </w:num>
  <w:num w:numId="8">
    <w:abstractNumId w:val="6"/>
  </w:num>
  <w:num w:numId="9">
    <w:abstractNumId w:val="33"/>
  </w:num>
  <w:num w:numId="10">
    <w:abstractNumId w:val="23"/>
  </w:num>
  <w:num w:numId="11">
    <w:abstractNumId w:val="5"/>
  </w:num>
  <w:num w:numId="12">
    <w:abstractNumId w:val="27"/>
  </w:num>
  <w:num w:numId="13">
    <w:abstractNumId w:val="13"/>
  </w:num>
  <w:num w:numId="14">
    <w:abstractNumId w:val="25"/>
  </w:num>
  <w:num w:numId="15">
    <w:abstractNumId w:val="12"/>
  </w:num>
  <w:num w:numId="16">
    <w:abstractNumId w:val="0"/>
  </w:num>
  <w:num w:numId="17">
    <w:abstractNumId w:val="28"/>
  </w:num>
  <w:num w:numId="18">
    <w:abstractNumId w:val="26"/>
  </w:num>
  <w:num w:numId="19">
    <w:abstractNumId w:val="15"/>
  </w:num>
  <w:num w:numId="20">
    <w:abstractNumId w:val="32"/>
  </w:num>
  <w:num w:numId="21">
    <w:abstractNumId w:val="8"/>
  </w:num>
  <w:num w:numId="22">
    <w:abstractNumId w:val="9"/>
  </w:num>
  <w:num w:numId="23">
    <w:abstractNumId w:val="30"/>
  </w:num>
  <w:num w:numId="24">
    <w:abstractNumId w:val="18"/>
  </w:num>
  <w:num w:numId="25">
    <w:abstractNumId w:val="31"/>
  </w:num>
  <w:num w:numId="26">
    <w:abstractNumId w:val="22"/>
  </w:num>
  <w:num w:numId="27">
    <w:abstractNumId w:val="16"/>
  </w:num>
  <w:num w:numId="28">
    <w:abstractNumId w:val="35"/>
  </w:num>
  <w:num w:numId="29">
    <w:abstractNumId w:val="14"/>
  </w:num>
  <w:num w:numId="30">
    <w:abstractNumId w:val="1"/>
  </w:num>
  <w:num w:numId="31">
    <w:abstractNumId w:val="29"/>
  </w:num>
  <w:num w:numId="32">
    <w:abstractNumId w:val="34"/>
  </w:num>
  <w:num w:numId="33">
    <w:abstractNumId w:val="4"/>
  </w:num>
  <w:num w:numId="34">
    <w:abstractNumId w:val="10"/>
  </w:num>
  <w:num w:numId="35">
    <w:abstractNumId w:val="7"/>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346"/>
    <w:rsid w:val="00004DAD"/>
    <w:rsid w:val="0001359F"/>
    <w:rsid w:val="00016C4C"/>
    <w:rsid w:val="000233BE"/>
    <w:rsid w:val="0002445E"/>
    <w:rsid w:val="00027A46"/>
    <w:rsid w:val="00027E29"/>
    <w:rsid w:val="000322D0"/>
    <w:rsid w:val="00033423"/>
    <w:rsid w:val="00044463"/>
    <w:rsid w:val="00045F56"/>
    <w:rsid w:val="000537D2"/>
    <w:rsid w:val="0006308D"/>
    <w:rsid w:val="00063493"/>
    <w:rsid w:val="00066570"/>
    <w:rsid w:val="000667C4"/>
    <w:rsid w:val="00067601"/>
    <w:rsid w:val="0007013E"/>
    <w:rsid w:val="00074ABD"/>
    <w:rsid w:val="00077B27"/>
    <w:rsid w:val="0008230A"/>
    <w:rsid w:val="00091E16"/>
    <w:rsid w:val="00092FB5"/>
    <w:rsid w:val="00094516"/>
    <w:rsid w:val="000A17F9"/>
    <w:rsid w:val="000B1C45"/>
    <w:rsid w:val="000B4A70"/>
    <w:rsid w:val="000B59CF"/>
    <w:rsid w:val="000C24BB"/>
    <w:rsid w:val="000C7A77"/>
    <w:rsid w:val="000D417C"/>
    <w:rsid w:val="000D480A"/>
    <w:rsid w:val="000D5779"/>
    <w:rsid w:val="000D5B77"/>
    <w:rsid w:val="000D6F51"/>
    <w:rsid w:val="000E1D69"/>
    <w:rsid w:val="000E6BAB"/>
    <w:rsid w:val="00104A01"/>
    <w:rsid w:val="0010536E"/>
    <w:rsid w:val="001065FD"/>
    <w:rsid w:val="00117B94"/>
    <w:rsid w:val="00122D68"/>
    <w:rsid w:val="001312D6"/>
    <w:rsid w:val="001358F9"/>
    <w:rsid w:val="001420C1"/>
    <w:rsid w:val="00142867"/>
    <w:rsid w:val="00152CAA"/>
    <w:rsid w:val="00162F2A"/>
    <w:rsid w:val="0017401A"/>
    <w:rsid w:val="001743FC"/>
    <w:rsid w:val="00176B82"/>
    <w:rsid w:val="00183B60"/>
    <w:rsid w:val="001861E8"/>
    <w:rsid w:val="00186807"/>
    <w:rsid w:val="00195BB5"/>
    <w:rsid w:val="001A27DD"/>
    <w:rsid w:val="001C1985"/>
    <w:rsid w:val="001C257D"/>
    <w:rsid w:val="001C33D9"/>
    <w:rsid w:val="001C51D3"/>
    <w:rsid w:val="001D0BA0"/>
    <w:rsid w:val="001D178C"/>
    <w:rsid w:val="001D7208"/>
    <w:rsid w:val="001E5A00"/>
    <w:rsid w:val="001E74D5"/>
    <w:rsid w:val="001F146F"/>
    <w:rsid w:val="001F2356"/>
    <w:rsid w:val="001F3C6B"/>
    <w:rsid w:val="001F6866"/>
    <w:rsid w:val="00200BDE"/>
    <w:rsid w:val="00203D04"/>
    <w:rsid w:val="0020443A"/>
    <w:rsid w:val="0020580C"/>
    <w:rsid w:val="002106A1"/>
    <w:rsid w:val="00211343"/>
    <w:rsid w:val="00212D38"/>
    <w:rsid w:val="0021403D"/>
    <w:rsid w:val="00215EC3"/>
    <w:rsid w:val="002166B2"/>
    <w:rsid w:val="00224C95"/>
    <w:rsid w:val="00226A3D"/>
    <w:rsid w:val="002520EE"/>
    <w:rsid w:val="0025357C"/>
    <w:rsid w:val="00256FA9"/>
    <w:rsid w:val="00274318"/>
    <w:rsid w:val="0028112F"/>
    <w:rsid w:val="00285DAB"/>
    <w:rsid w:val="002929BD"/>
    <w:rsid w:val="002A2AC7"/>
    <w:rsid w:val="002A44D2"/>
    <w:rsid w:val="002B071D"/>
    <w:rsid w:val="002B31A1"/>
    <w:rsid w:val="002B6D8A"/>
    <w:rsid w:val="002C1687"/>
    <w:rsid w:val="002C1E60"/>
    <w:rsid w:val="002C5671"/>
    <w:rsid w:val="002C5A88"/>
    <w:rsid w:val="002D68C6"/>
    <w:rsid w:val="002D7ED9"/>
    <w:rsid w:val="002E0C27"/>
    <w:rsid w:val="002E1977"/>
    <w:rsid w:val="002F281A"/>
    <w:rsid w:val="002F2966"/>
    <w:rsid w:val="002F4050"/>
    <w:rsid w:val="002F7C8A"/>
    <w:rsid w:val="003065CE"/>
    <w:rsid w:val="003116EE"/>
    <w:rsid w:val="00311E97"/>
    <w:rsid w:val="0032058D"/>
    <w:rsid w:val="00322909"/>
    <w:rsid w:val="00322CF7"/>
    <w:rsid w:val="003250DD"/>
    <w:rsid w:val="00325978"/>
    <w:rsid w:val="0032603A"/>
    <w:rsid w:val="00336F69"/>
    <w:rsid w:val="00341219"/>
    <w:rsid w:val="0034175D"/>
    <w:rsid w:val="00341A49"/>
    <w:rsid w:val="0036681A"/>
    <w:rsid w:val="00374100"/>
    <w:rsid w:val="00375790"/>
    <w:rsid w:val="003947E9"/>
    <w:rsid w:val="003B1A06"/>
    <w:rsid w:val="003B1E6D"/>
    <w:rsid w:val="003B20E9"/>
    <w:rsid w:val="003C3523"/>
    <w:rsid w:val="003C5E7D"/>
    <w:rsid w:val="003D3A02"/>
    <w:rsid w:val="003D7B28"/>
    <w:rsid w:val="003E0E8F"/>
    <w:rsid w:val="003E443C"/>
    <w:rsid w:val="003E4C26"/>
    <w:rsid w:val="003F1477"/>
    <w:rsid w:val="003F1E24"/>
    <w:rsid w:val="003F53DA"/>
    <w:rsid w:val="0040090D"/>
    <w:rsid w:val="004057BA"/>
    <w:rsid w:val="004102E5"/>
    <w:rsid w:val="0041040D"/>
    <w:rsid w:val="0041332D"/>
    <w:rsid w:val="0041431B"/>
    <w:rsid w:val="004208B8"/>
    <w:rsid w:val="004235F9"/>
    <w:rsid w:val="00425E93"/>
    <w:rsid w:val="00426708"/>
    <w:rsid w:val="00430C0D"/>
    <w:rsid w:val="00432C6D"/>
    <w:rsid w:val="00465258"/>
    <w:rsid w:val="0047609E"/>
    <w:rsid w:val="00476F26"/>
    <w:rsid w:val="00486512"/>
    <w:rsid w:val="00486E3A"/>
    <w:rsid w:val="0048746F"/>
    <w:rsid w:val="004A62D6"/>
    <w:rsid w:val="004A7970"/>
    <w:rsid w:val="004C2BD6"/>
    <w:rsid w:val="004C70E2"/>
    <w:rsid w:val="004D0928"/>
    <w:rsid w:val="004D25DC"/>
    <w:rsid w:val="004E1645"/>
    <w:rsid w:val="004E18C1"/>
    <w:rsid w:val="004F05B7"/>
    <w:rsid w:val="004F1E83"/>
    <w:rsid w:val="004F283F"/>
    <w:rsid w:val="004F3D45"/>
    <w:rsid w:val="004F66A2"/>
    <w:rsid w:val="005059AE"/>
    <w:rsid w:val="00505C64"/>
    <w:rsid w:val="00511869"/>
    <w:rsid w:val="00520084"/>
    <w:rsid w:val="0054190C"/>
    <w:rsid w:val="00546F41"/>
    <w:rsid w:val="00555DA9"/>
    <w:rsid w:val="00556316"/>
    <w:rsid w:val="00557CB9"/>
    <w:rsid w:val="0056389A"/>
    <w:rsid w:val="00563CB4"/>
    <w:rsid w:val="00564758"/>
    <w:rsid w:val="00581128"/>
    <w:rsid w:val="00594407"/>
    <w:rsid w:val="005A1AD4"/>
    <w:rsid w:val="005A5C98"/>
    <w:rsid w:val="005C364E"/>
    <w:rsid w:val="005C3FBF"/>
    <w:rsid w:val="005D11A5"/>
    <w:rsid w:val="005D256D"/>
    <w:rsid w:val="005D2621"/>
    <w:rsid w:val="005E03A9"/>
    <w:rsid w:val="005E1A78"/>
    <w:rsid w:val="005F04EA"/>
    <w:rsid w:val="00602856"/>
    <w:rsid w:val="00606F96"/>
    <w:rsid w:val="006146A8"/>
    <w:rsid w:val="00620612"/>
    <w:rsid w:val="00621D99"/>
    <w:rsid w:val="006232C1"/>
    <w:rsid w:val="0062475B"/>
    <w:rsid w:val="006257A2"/>
    <w:rsid w:val="00630057"/>
    <w:rsid w:val="00633AE3"/>
    <w:rsid w:val="00640212"/>
    <w:rsid w:val="006408D4"/>
    <w:rsid w:val="0064356B"/>
    <w:rsid w:val="006507D6"/>
    <w:rsid w:val="0065197C"/>
    <w:rsid w:val="00654F85"/>
    <w:rsid w:val="00656B32"/>
    <w:rsid w:val="0066001C"/>
    <w:rsid w:val="00666A9F"/>
    <w:rsid w:val="006751B2"/>
    <w:rsid w:val="00676730"/>
    <w:rsid w:val="0068083B"/>
    <w:rsid w:val="006859C5"/>
    <w:rsid w:val="00692773"/>
    <w:rsid w:val="00695595"/>
    <w:rsid w:val="0069607E"/>
    <w:rsid w:val="00697820"/>
    <w:rsid w:val="006B2273"/>
    <w:rsid w:val="006B36AC"/>
    <w:rsid w:val="006C2684"/>
    <w:rsid w:val="006D29E1"/>
    <w:rsid w:val="006D4826"/>
    <w:rsid w:val="006E3670"/>
    <w:rsid w:val="006E3EDE"/>
    <w:rsid w:val="006F0510"/>
    <w:rsid w:val="00705C54"/>
    <w:rsid w:val="00717BFF"/>
    <w:rsid w:val="00721A7D"/>
    <w:rsid w:val="007470BD"/>
    <w:rsid w:val="00751187"/>
    <w:rsid w:val="007565B2"/>
    <w:rsid w:val="007613D1"/>
    <w:rsid w:val="0077027E"/>
    <w:rsid w:val="00772180"/>
    <w:rsid w:val="007812DD"/>
    <w:rsid w:val="00786F41"/>
    <w:rsid w:val="00787277"/>
    <w:rsid w:val="007919DB"/>
    <w:rsid w:val="0079377C"/>
    <w:rsid w:val="007977F3"/>
    <w:rsid w:val="007A2B55"/>
    <w:rsid w:val="007B2F4B"/>
    <w:rsid w:val="007C3980"/>
    <w:rsid w:val="007E7262"/>
    <w:rsid w:val="007F3AAF"/>
    <w:rsid w:val="007F4668"/>
    <w:rsid w:val="008139E3"/>
    <w:rsid w:val="00817D11"/>
    <w:rsid w:val="00836CC4"/>
    <w:rsid w:val="00841DD8"/>
    <w:rsid w:val="00846E03"/>
    <w:rsid w:val="00851B5C"/>
    <w:rsid w:val="00861489"/>
    <w:rsid w:val="0086477D"/>
    <w:rsid w:val="00864839"/>
    <w:rsid w:val="00866481"/>
    <w:rsid w:val="008665F2"/>
    <w:rsid w:val="008672C8"/>
    <w:rsid w:val="008770C8"/>
    <w:rsid w:val="008820CE"/>
    <w:rsid w:val="0088415C"/>
    <w:rsid w:val="00892621"/>
    <w:rsid w:val="00895D5A"/>
    <w:rsid w:val="008A0C79"/>
    <w:rsid w:val="008A3821"/>
    <w:rsid w:val="008A48D9"/>
    <w:rsid w:val="008A6197"/>
    <w:rsid w:val="008B3629"/>
    <w:rsid w:val="008B7677"/>
    <w:rsid w:val="008C302D"/>
    <w:rsid w:val="008C7AB4"/>
    <w:rsid w:val="008D06C6"/>
    <w:rsid w:val="008D6E48"/>
    <w:rsid w:val="008E4C70"/>
    <w:rsid w:val="008F6836"/>
    <w:rsid w:val="008F74A4"/>
    <w:rsid w:val="00900BDB"/>
    <w:rsid w:val="00916AF9"/>
    <w:rsid w:val="00921F7B"/>
    <w:rsid w:val="009305FD"/>
    <w:rsid w:val="009411F6"/>
    <w:rsid w:val="00982EB7"/>
    <w:rsid w:val="00985A34"/>
    <w:rsid w:val="009A1C4A"/>
    <w:rsid w:val="009A32E2"/>
    <w:rsid w:val="009B6310"/>
    <w:rsid w:val="009C2BF7"/>
    <w:rsid w:val="009D0B50"/>
    <w:rsid w:val="009D2104"/>
    <w:rsid w:val="009D4446"/>
    <w:rsid w:val="009E7BD1"/>
    <w:rsid w:val="009F07AA"/>
    <w:rsid w:val="009F3422"/>
    <w:rsid w:val="009F5E07"/>
    <w:rsid w:val="00A03296"/>
    <w:rsid w:val="00A04A36"/>
    <w:rsid w:val="00A13EF8"/>
    <w:rsid w:val="00A17F7B"/>
    <w:rsid w:val="00A20594"/>
    <w:rsid w:val="00A2456F"/>
    <w:rsid w:val="00A46078"/>
    <w:rsid w:val="00A51ABC"/>
    <w:rsid w:val="00A55826"/>
    <w:rsid w:val="00A603C8"/>
    <w:rsid w:val="00A6375C"/>
    <w:rsid w:val="00A73B5A"/>
    <w:rsid w:val="00A81C4B"/>
    <w:rsid w:val="00A84E34"/>
    <w:rsid w:val="00A85693"/>
    <w:rsid w:val="00A86369"/>
    <w:rsid w:val="00A963A7"/>
    <w:rsid w:val="00AA192C"/>
    <w:rsid w:val="00AA28BF"/>
    <w:rsid w:val="00AA3D0E"/>
    <w:rsid w:val="00AA43B1"/>
    <w:rsid w:val="00AD51A4"/>
    <w:rsid w:val="00AD5BD9"/>
    <w:rsid w:val="00AD7F71"/>
    <w:rsid w:val="00AF4CF2"/>
    <w:rsid w:val="00B076B0"/>
    <w:rsid w:val="00B10692"/>
    <w:rsid w:val="00B200C0"/>
    <w:rsid w:val="00B249E7"/>
    <w:rsid w:val="00B33FA8"/>
    <w:rsid w:val="00B47457"/>
    <w:rsid w:val="00B5066B"/>
    <w:rsid w:val="00B51A11"/>
    <w:rsid w:val="00B52B56"/>
    <w:rsid w:val="00B530B1"/>
    <w:rsid w:val="00B71B91"/>
    <w:rsid w:val="00B7384B"/>
    <w:rsid w:val="00B77587"/>
    <w:rsid w:val="00B90D06"/>
    <w:rsid w:val="00B9346E"/>
    <w:rsid w:val="00B93C88"/>
    <w:rsid w:val="00B964D9"/>
    <w:rsid w:val="00B96FA5"/>
    <w:rsid w:val="00BA3D4B"/>
    <w:rsid w:val="00BA448D"/>
    <w:rsid w:val="00BD3B7C"/>
    <w:rsid w:val="00BD57F3"/>
    <w:rsid w:val="00BE3F94"/>
    <w:rsid w:val="00BF0CF6"/>
    <w:rsid w:val="00C054E9"/>
    <w:rsid w:val="00C1088B"/>
    <w:rsid w:val="00C17869"/>
    <w:rsid w:val="00C17C0C"/>
    <w:rsid w:val="00C20FCC"/>
    <w:rsid w:val="00C331A8"/>
    <w:rsid w:val="00C34B05"/>
    <w:rsid w:val="00C35087"/>
    <w:rsid w:val="00C37BCD"/>
    <w:rsid w:val="00C37D05"/>
    <w:rsid w:val="00C417E3"/>
    <w:rsid w:val="00C60519"/>
    <w:rsid w:val="00C60D4E"/>
    <w:rsid w:val="00C6366E"/>
    <w:rsid w:val="00C641E9"/>
    <w:rsid w:val="00C8028C"/>
    <w:rsid w:val="00C80B69"/>
    <w:rsid w:val="00C81F36"/>
    <w:rsid w:val="00C830CC"/>
    <w:rsid w:val="00C84260"/>
    <w:rsid w:val="00C86190"/>
    <w:rsid w:val="00C97125"/>
    <w:rsid w:val="00C97C4C"/>
    <w:rsid w:val="00CA0189"/>
    <w:rsid w:val="00CA2814"/>
    <w:rsid w:val="00CA287C"/>
    <w:rsid w:val="00CA4416"/>
    <w:rsid w:val="00CA486F"/>
    <w:rsid w:val="00CA5EA3"/>
    <w:rsid w:val="00CA6A91"/>
    <w:rsid w:val="00CB6346"/>
    <w:rsid w:val="00CC0792"/>
    <w:rsid w:val="00CC3569"/>
    <w:rsid w:val="00CD71AD"/>
    <w:rsid w:val="00CE2A15"/>
    <w:rsid w:val="00CE3673"/>
    <w:rsid w:val="00CF0EAB"/>
    <w:rsid w:val="00CF633F"/>
    <w:rsid w:val="00CF756A"/>
    <w:rsid w:val="00D0411C"/>
    <w:rsid w:val="00D06975"/>
    <w:rsid w:val="00D22C58"/>
    <w:rsid w:val="00D2634B"/>
    <w:rsid w:val="00D30559"/>
    <w:rsid w:val="00D318AC"/>
    <w:rsid w:val="00D40C45"/>
    <w:rsid w:val="00D44C06"/>
    <w:rsid w:val="00D45FA6"/>
    <w:rsid w:val="00D617E9"/>
    <w:rsid w:val="00D65DE9"/>
    <w:rsid w:val="00D7268C"/>
    <w:rsid w:val="00D74A85"/>
    <w:rsid w:val="00D74AD8"/>
    <w:rsid w:val="00D761CA"/>
    <w:rsid w:val="00D80E4C"/>
    <w:rsid w:val="00D837DA"/>
    <w:rsid w:val="00D92FE6"/>
    <w:rsid w:val="00D941CD"/>
    <w:rsid w:val="00DA09D8"/>
    <w:rsid w:val="00DB636D"/>
    <w:rsid w:val="00DC1F67"/>
    <w:rsid w:val="00DC5EEB"/>
    <w:rsid w:val="00DE4418"/>
    <w:rsid w:val="00DF1064"/>
    <w:rsid w:val="00DF1AB8"/>
    <w:rsid w:val="00DF327C"/>
    <w:rsid w:val="00DF64FA"/>
    <w:rsid w:val="00E007D0"/>
    <w:rsid w:val="00E04536"/>
    <w:rsid w:val="00E10827"/>
    <w:rsid w:val="00E13A6E"/>
    <w:rsid w:val="00E15029"/>
    <w:rsid w:val="00E26C3A"/>
    <w:rsid w:val="00E32D49"/>
    <w:rsid w:val="00E72D1C"/>
    <w:rsid w:val="00E7364C"/>
    <w:rsid w:val="00E80C31"/>
    <w:rsid w:val="00E91A60"/>
    <w:rsid w:val="00E93A11"/>
    <w:rsid w:val="00ED15BE"/>
    <w:rsid w:val="00EE02AC"/>
    <w:rsid w:val="00EE3A80"/>
    <w:rsid w:val="00EE5BBB"/>
    <w:rsid w:val="00F06B5E"/>
    <w:rsid w:val="00F07681"/>
    <w:rsid w:val="00F10678"/>
    <w:rsid w:val="00F13CF0"/>
    <w:rsid w:val="00F2242B"/>
    <w:rsid w:val="00F24320"/>
    <w:rsid w:val="00F24F1C"/>
    <w:rsid w:val="00F304BD"/>
    <w:rsid w:val="00F41BF2"/>
    <w:rsid w:val="00F44EF8"/>
    <w:rsid w:val="00F50F54"/>
    <w:rsid w:val="00F553B9"/>
    <w:rsid w:val="00F561F3"/>
    <w:rsid w:val="00F65965"/>
    <w:rsid w:val="00F66CF4"/>
    <w:rsid w:val="00F728FC"/>
    <w:rsid w:val="00F76997"/>
    <w:rsid w:val="00F834A1"/>
    <w:rsid w:val="00F85820"/>
    <w:rsid w:val="00F87736"/>
    <w:rsid w:val="00F90791"/>
    <w:rsid w:val="00F922AA"/>
    <w:rsid w:val="00F9290F"/>
    <w:rsid w:val="00FA2DE6"/>
    <w:rsid w:val="00FB3ACC"/>
    <w:rsid w:val="00FB62F8"/>
    <w:rsid w:val="00FC1EAD"/>
    <w:rsid w:val="00FD1BB0"/>
    <w:rsid w:val="00FD38A0"/>
    <w:rsid w:val="00FD5794"/>
    <w:rsid w:val="00FD6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9CC0"/>
  <w15:docId w15:val="{1A545FFE-378C-49AA-BB0B-8AC68FCC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668"/>
    <w:pPr>
      <w:ind w:left="720"/>
      <w:contextualSpacing/>
    </w:pPr>
  </w:style>
  <w:style w:type="paragraph" w:styleId="BalloonText">
    <w:name w:val="Balloon Text"/>
    <w:basedOn w:val="Normal"/>
    <w:link w:val="BalloonTextChar"/>
    <w:uiPriority w:val="99"/>
    <w:semiHidden/>
    <w:unhideWhenUsed/>
    <w:rsid w:val="00555DA9"/>
    <w:rPr>
      <w:rFonts w:ascii="Tahoma" w:hAnsi="Tahoma" w:cs="Tahoma"/>
      <w:sz w:val="16"/>
      <w:szCs w:val="16"/>
    </w:rPr>
  </w:style>
  <w:style w:type="character" w:customStyle="1" w:styleId="BalloonTextChar">
    <w:name w:val="Balloon Text Char"/>
    <w:basedOn w:val="DefaultParagraphFont"/>
    <w:link w:val="BalloonText"/>
    <w:uiPriority w:val="99"/>
    <w:semiHidden/>
    <w:rsid w:val="00555DA9"/>
    <w:rPr>
      <w:rFonts w:ascii="Tahoma" w:hAnsi="Tahoma" w:cs="Tahoma"/>
      <w:sz w:val="16"/>
      <w:szCs w:val="16"/>
    </w:rPr>
  </w:style>
  <w:style w:type="table" w:styleId="TableGrid">
    <w:name w:val="Table Grid"/>
    <w:basedOn w:val="TableNormal"/>
    <w:uiPriority w:val="59"/>
    <w:rsid w:val="00D94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001C"/>
    <w:rPr>
      <w:sz w:val="16"/>
      <w:szCs w:val="16"/>
    </w:rPr>
  </w:style>
  <w:style w:type="paragraph" w:styleId="CommentText">
    <w:name w:val="annotation text"/>
    <w:basedOn w:val="Normal"/>
    <w:link w:val="CommentTextChar"/>
    <w:uiPriority w:val="99"/>
    <w:semiHidden/>
    <w:unhideWhenUsed/>
    <w:rsid w:val="0066001C"/>
    <w:rPr>
      <w:sz w:val="20"/>
      <w:szCs w:val="20"/>
    </w:rPr>
  </w:style>
  <w:style w:type="character" w:customStyle="1" w:styleId="CommentTextChar">
    <w:name w:val="Comment Text Char"/>
    <w:basedOn w:val="DefaultParagraphFont"/>
    <w:link w:val="CommentText"/>
    <w:uiPriority w:val="99"/>
    <w:semiHidden/>
    <w:rsid w:val="0066001C"/>
    <w:rPr>
      <w:sz w:val="20"/>
      <w:szCs w:val="20"/>
    </w:rPr>
  </w:style>
  <w:style w:type="paragraph" w:styleId="CommentSubject">
    <w:name w:val="annotation subject"/>
    <w:basedOn w:val="CommentText"/>
    <w:next w:val="CommentText"/>
    <w:link w:val="CommentSubjectChar"/>
    <w:uiPriority w:val="99"/>
    <w:semiHidden/>
    <w:unhideWhenUsed/>
    <w:rsid w:val="0066001C"/>
    <w:rPr>
      <w:b/>
      <w:bCs/>
    </w:rPr>
  </w:style>
  <w:style w:type="character" w:customStyle="1" w:styleId="CommentSubjectChar">
    <w:name w:val="Comment Subject Char"/>
    <w:basedOn w:val="CommentTextChar"/>
    <w:link w:val="CommentSubject"/>
    <w:uiPriority w:val="99"/>
    <w:semiHidden/>
    <w:rsid w:val="0066001C"/>
    <w:rPr>
      <w:b/>
      <w:bCs/>
      <w:sz w:val="20"/>
      <w:szCs w:val="20"/>
    </w:rPr>
  </w:style>
  <w:style w:type="paragraph" w:styleId="FootnoteText">
    <w:name w:val="footnote text"/>
    <w:basedOn w:val="Normal"/>
    <w:link w:val="FootnoteTextChar"/>
    <w:uiPriority w:val="99"/>
    <w:unhideWhenUsed/>
    <w:rsid w:val="00D45FA6"/>
    <w:rPr>
      <w:sz w:val="20"/>
      <w:szCs w:val="20"/>
    </w:rPr>
  </w:style>
  <w:style w:type="character" w:customStyle="1" w:styleId="FootnoteTextChar">
    <w:name w:val="Footnote Text Char"/>
    <w:basedOn w:val="DefaultParagraphFont"/>
    <w:link w:val="FootnoteText"/>
    <w:uiPriority w:val="99"/>
    <w:rsid w:val="00D45FA6"/>
    <w:rPr>
      <w:sz w:val="20"/>
      <w:szCs w:val="20"/>
    </w:rPr>
  </w:style>
  <w:style w:type="character" w:styleId="FootnoteReference">
    <w:name w:val="footnote reference"/>
    <w:basedOn w:val="DefaultParagraphFont"/>
    <w:uiPriority w:val="99"/>
    <w:semiHidden/>
    <w:unhideWhenUsed/>
    <w:rsid w:val="00D45FA6"/>
    <w:rPr>
      <w:vertAlign w:val="superscript"/>
    </w:rPr>
  </w:style>
  <w:style w:type="character" w:styleId="Hyperlink">
    <w:name w:val="Hyperlink"/>
    <w:basedOn w:val="DefaultParagraphFont"/>
    <w:uiPriority w:val="99"/>
    <w:unhideWhenUsed/>
    <w:rsid w:val="001D178C"/>
    <w:rPr>
      <w:color w:val="0000FF" w:themeColor="hyperlink"/>
      <w:u w:val="single"/>
    </w:rPr>
  </w:style>
  <w:style w:type="character" w:styleId="PlaceholderText">
    <w:name w:val="Placeholder Text"/>
    <w:basedOn w:val="DefaultParagraphFont"/>
    <w:uiPriority w:val="99"/>
    <w:semiHidden/>
    <w:rsid w:val="004F1E83"/>
    <w:rPr>
      <w:color w:val="808080"/>
    </w:rPr>
  </w:style>
  <w:style w:type="paragraph" w:styleId="EndnoteText">
    <w:name w:val="endnote text"/>
    <w:basedOn w:val="Normal"/>
    <w:link w:val="EndnoteTextChar"/>
    <w:uiPriority w:val="99"/>
    <w:semiHidden/>
    <w:unhideWhenUsed/>
    <w:rsid w:val="00063493"/>
    <w:rPr>
      <w:sz w:val="20"/>
      <w:szCs w:val="20"/>
    </w:rPr>
  </w:style>
  <w:style w:type="character" w:customStyle="1" w:styleId="EndnoteTextChar">
    <w:name w:val="Endnote Text Char"/>
    <w:basedOn w:val="DefaultParagraphFont"/>
    <w:link w:val="EndnoteText"/>
    <w:uiPriority w:val="99"/>
    <w:semiHidden/>
    <w:rsid w:val="00063493"/>
    <w:rPr>
      <w:sz w:val="20"/>
      <w:szCs w:val="20"/>
    </w:rPr>
  </w:style>
  <w:style w:type="character" w:styleId="EndnoteReference">
    <w:name w:val="endnote reference"/>
    <w:basedOn w:val="DefaultParagraphFont"/>
    <w:uiPriority w:val="99"/>
    <w:semiHidden/>
    <w:unhideWhenUsed/>
    <w:rsid w:val="00063493"/>
    <w:rPr>
      <w:vertAlign w:val="superscript"/>
    </w:rPr>
  </w:style>
  <w:style w:type="character" w:styleId="FollowedHyperlink">
    <w:name w:val="FollowedHyperlink"/>
    <w:basedOn w:val="DefaultParagraphFont"/>
    <w:uiPriority w:val="99"/>
    <w:semiHidden/>
    <w:unhideWhenUsed/>
    <w:rsid w:val="00CA6A91"/>
    <w:rPr>
      <w:color w:val="800080" w:themeColor="followedHyperlink"/>
      <w:u w:val="single"/>
    </w:rPr>
  </w:style>
  <w:style w:type="character" w:styleId="UnresolvedMention">
    <w:name w:val="Unresolved Mention"/>
    <w:basedOn w:val="DefaultParagraphFont"/>
    <w:uiPriority w:val="99"/>
    <w:semiHidden/>
    <w:unhideWhenUsed/>
    <w:rsid w:val="00982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81518">
      <w:bodyDiv w:val="1"/>
      <w:marLeft w:val="0"/>
      <w:marRight w:val="0"/>
      <w:marTop w:val="0"/>
      <w:marBottom w:val="0"/>
      <w:divBdr>
        <w:top w:val="none" w:sz="0" w:space="0" w:color="auto"/>
        <w:left w:val="none" w:sz="0" w:space="0" w:color="auto"/>
        <w:bottom w:val="none" w:sz="0" w:space="0" w:color="auto"/>
        <w:right w:val="none" w:sz="0" w:space="0" w:color="auto"/>
      </w:divBdr>
    </w:div>
    <w:div w:id="295914351">
      <w:bodyDiv w:val="1"/>
      <w:marLeft w:val="0"/>
      <w:marRight w:val="0"/>
      <w:marTop w:val="0"/>
      <w:marBottom w:val="0"/>
      <w:divBdr>
        <w:top w:val="none" w:sz="0" w:space="0" w:color="auto"/>
        <w:left w:val="none" w:sz="0" w:space="0" w:color="auto"/>
        <w:bottom w:val="none" w:sz="0" w:space="0" w:color="auto"/>
        <w:right w:val="none" w:sz="0" w:space="0" w:color="auto"/>
      </w:divBdr>
    </w:div>
    <w:div w:id="601038747">
      <w:bodyDiv w:val="1"/>
      <w:marLeft w:val="0"/>
      <w:marRight w:val="0"/>
      <w:marTop w:val="0"/>
      <w:marBottom w:val="0"/>
      <w:divBdr>
        <w:top w:val="none" w:sz="0" w:space="0" w:color="auto"/>
        <w:left w:val="none" w:sz="0" w:space="0" w:color="auto"/>
        <w:bottom w:val="none" w:sz="0" w:space="0" w:color="auto"/>
        <w:right w:val="none" w:sz="0" w:space="0" w:color="auto"/>
      </w:divBdr>
    </w:div>
    <w:div w:id="612589984">
      <w:bodyDiv w:val="1"/>
      <w:marLeft w:val="0"/>
      <w:marRight w:val="0"/>
      <w:marTop w:val="0"/>
      <w:marBottom w:val="0"/>
      <w:divBdr>
        <w:top w:val="none" w:sz="0" w:space="0" w:color="auto"/>
        <w:left w:val="none" w:sz="0" w:space="0" w:color="auto"/>
        <w:bottom w:val="none" w:sz="0" w:space="0" w:color="auto"/>
        <w:right w:val="none" w:sz="0" w:space="0" w:color="auto"/>
      </w:divBdr>
    </w:div>
    <w:div w:id="764306820">
      <w:bodyDiv w:val="1"/>
      <w:marLeft w:val="0"/>
      <w:marRight w:val="0"/>
      <w:marTop w:val="0"/>
      <w:marBottom w:val="0"/>
      <w:divBdr>
        <w:top w:val="none" w:sz="0" w:space="0" w:color="auto"/>
        <w:left w:val="none" w:sz="0" w:space="0" w:color="auto"/>
        <w:bottom w:val="none" w:sz="0" w:space="0" w:color="auto"/>
        <w:right w:val="none" w:sz="0" w:space="0" w:color="auto"/>
      </w:divBdr>
    </w:div>
    <w:div w:id="1622103701">
      <w:bodyDiv w:val="1"/>
      <w:marLeft w:val="0"/>
      <w:marRight w:val="0"/>
      <w:marTop w:val="0"/>
      <w:marBottom w:val="0"/>
      <w:divBdr>
        <w:top w:val="none" w:sz="0" w:space="0" w:color="auto"/>
        <w:left w:val="none" w:sz="0" w:space="0" w:color="auto"/>
        <w:bottom w:val="none" w:sz="0" w:space="0" w:color="auto"/>
        <w:right w:val="none" w:sz="0" w:space="0" w:color="auto"/>
      </w:divBdr>
    </w:div>
    <w:div w:id="171484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sustainabilityexchange.ac.uk/files/briefing_paper_text_-_definition_of_reporting_scopes_1.pdf" TargetMode="External"/><Relationship Id="rId18" Type="http://schemas.openxmlformats.org/officeDocument/2006/relationships/hyperlink" Target="https://www.eauc.org.uk/sector_briefing_what_is_carbon_offsetti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ri.org/blog/2019/09/what-does-net-zero-emissions-mean-6-common-questions-answered"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dgs.un.org/goals" TargetMode="Externa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3.emf"/><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llections/government-conversion-factors-for-company-re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AE7B9-8040-427E-A9AF-E0B8048D2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15</Pages>
  <Words>6521</Words>
  <Characters>37175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Hartley</dc:creator>
  <cp:keywords/>
  <dc:description/>
  <cp:lastModifiedBy>Suzanne Hartley</cp:lastModifiedBy>
  <cp:revision>31</cp:revision>
  <cp:lastPrinted>2021-11-02T09:26:00Z</cp:lastPrinted>
  <dcterms:created xsi:type="dcterms:W3CDTF">2020-10-27T15:05:00Z</dcterms:created>
  <dcterms:modified xsi:type="dcterms:W3CDTF">2021-11-24T09:25:00Z</dcterms:modified>
</cp:coreProperties>
</file>